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339D" w14:textId="77777777" w:rsidR="009C6B4B" w:rsidRDefault="00335766" w:rsidP="00335766">
      <w:pPr>
        <w:pStyle w:val="Default"/>
      </w:pPr>
      <w:r w:rsidRPr="00EF3A89">
        <w:rPr>
          <w:b/>
          <w:bCs/>
          <w:u w:val="single"/>
        </w:rPr>
        <w:t>Jelmagyarázat:</w:t>
      </w:r>
    </w:p>
    <w:p w14:paraId="672CBBEE" w14:textId="0654436D" w:rsidR="00335766" w:rsidRDefault="009C6B4B" w:rsidP="00335766">
      <w:pPr>
        <w:pStyle w:val="Default"/>
      </w:pPr>
      <w:r>
        <w:t xml:space="preserve">– </w:t>
      </w:r>
      <w:r w:rsidR="00335766" w:rsidRPr="00EF3A89">
        <w:t xml:space="preserve">a </w:t>
      </w:r>
      <w:r w:rsidR="00335766" w:rsidRPr="00EF3A89">
        <w:rPr>
          <w:color w:val="FF0000"/>
        </w:rPr>
        <w:t xml:space="preserve">pirossal szedett címek </w:t>
      </w:r>
      <w:r w:rsidR="00335766">
        <w:rPr>
          <w:color w:val="000000" w:themeColor="text1"/>
        </w:rPr>
        <w:t>és a hozzájuk tartozó rövid</w:t>
      </w:r>
      <w:r>
        <w:rPr>
          <w:color w:val="000000" w:themeColor="text1"/>
        </w:rPr>
        <w:t>, felsorolásszerű ismertető</w:t>
      </w:r>
      <w:r w:rsidR="00335766">
        <w:rPr>
          <w:color w:val="000000" w:themeColor="text1"/>
        </w:rPr>
        <w:t xml:space="preserve"> </w:t>
      </w:r>
      <w:r w:rsidR="00335766" w:rsidRPr="00EF3A89">
        <w:t>nem részei a mintának</w:t>
      </w:r>
    </w:p>
    <w:p w14:paraId="69AB6B29" w14:textId="7F87640D" w:rsidR="009C6B4B" w:rsidRPr="00EF3A89" w:rsidRDefault="009C6B4B" w:rsidP="00335766">
      <w:pPr>
        <w:pStyle w:val="Default"/>
      </w:pPr>
      <w:r>
        <w:t>– a minták a leírás után a vonal alatt kez</w:t>
      </w:r>
      <w:r w:rsidR="00E774BB">
        <w:t>d</w:t>
      </w:r>
      <w:r>
        <w:t>ődnek</w:t>
      </w:r>
    </w:p>
    <w:p w14:paraId="3A3295FE" w14:textId="09BDA195" w:rsidR="00335766" w:rsidRDefault="00E774BB" w:rsidP="00335766">
      <w:pPr>
        <w:pStyle w:val="Default"/>
        <w:jc w:val="center"/>
        <w:rPr>
          <w:b/>
          <w:bCs/>
        </w:rPr>
      </w:pPr>
      <w:r>
        <w:rPr>
          <w:noProof/>
        </w:rPr>
        <mc:AlternateContent>
          <mc:Choice Requires="wps">
            <w:drawing>
              <wp:anchor distT="0" distB="0" distL="114300" distR="114300" simplePos="0" relativeHeight="251671552" behindDoc="0" locked="0" layoutInCell="1" allowOverlap="1" wp14:anchorId="4AEC7E76" wp14:editId="6EEA3401">
                <wp:simplePos x="0" y="0"/>
                <wp:positionH relativeFrom="column">
                  <wp:posOffset>0</wp:posOffset>
                </wp:positionH>
                <wp:positionV relativeFrom="paragraph">
                  <wp:posOffset>75565</wp:posOffset>
                </wp:positionV>
                <wp:extent cx="5816600" cy="0"/>
                <wp:effectExtent l="0" t="0" r="12700" b="12700"/>
                <wp:wrapNone/>
                <wp:docPr id="7" name="Egyenes összekötő 7"/>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88DEA9F" id="Egyenes összekötő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95pt" to="45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" strokecolor="#4472c4 [3204]" strokeweight=".5pt">
                <v:stroke joinstyle="miter"/>
              </v:line>
            </w:pict>
          </mc:Fallback>
        </mc:AlternateContent>
      </w:r>
    </w:p>
    <w:p w14:paraId="41B106C4" w14:textId="77777777" w:rsidR="00335766" w:rsidRDefault="00335766" w:rsidP="00E75A0A">
      <w:pPr>
        <w:pStyle w:val="Default"/>
        <w:jc w:val="center"/>
        <w:rPr>
          <w:b/>
          <w:bCs/>
        </w:rPr>
      </w:pPr>
      <w:r w:rsidRPr="00EF3A89">
        <w:rPr>
          <w:b/>
          <w:bCs/>
          <w:color w:val="000000" w:themeColor="text1"/>
        </w:rPr>
        <w:t xml:space="preserve">1. </w:t>
      </w:r>
      <w:r w:rsidRPr="00F5154B">
        <w:rPr>
          <w:b/>
          <w:bCs/>
          <w:color w:val="FF0000"/>
        </w:rPr>
        <w:t>DÖNTVÉNY</w:t>
      </w:r>
      <w:r>
        <w:rPr>
          <w:b/>
          <w:bCs/>
          <w:color w:val="FF0000"/>
        </w:rPr>
        <w:t>:</w:t>
      </w:r>
    </w:p>
    <w:p w14:paraId="3F5D70B5" w14:textId="5B200A18" w:rsidR="00335766" w:rsidRPr="00EF3A89" w:rsidRDefault="00335766" w:rsidP="00335766">
      <w:pPr>
        <w:pStyle w:val="Default"/>
      </w:pPr>
      <w:r w:rsidRPr="00EF3A89">
        <w:t>– nincsenek lábjegyzetek</w:t>
      </w:r>
    </w:p>
    <w:p w14:paraId="17B78F4A" w14:textId="11DD4468" w:rsidR="00335766" w:rsidRDefault="00335766" w:rsidP="00335766">
      <w:pPr>
        <w:pStyle w:val="Default"/>
      </w:pPr>
      <w:r w:rsidRPr="00335766">
        <w:t>– nincsenek köztescímek</w:t>
      </w:r>
    </w:p>
    <w:p w14:paraId="34EDEF68" w14:textId="7095FBC1" w:rsidR="00335766" w:rsidRPr="00DC245F" w:rsidRDefault="007E2015" w:rsidP="00DC245F">
      <w:pPr>
        <w:pStyle w:val="Default"/>
      </w:pPr>
      <w:r>
        <w:rPr>
          <w:noProof/>
        </w:rPr>
        <mc:AlternateContent>
          <mc:Choice Requires="wps">
            <w:drawing>
              <wp:anchor distT="0" distB="0" distL="114300" distR="114300" simplePos="0" relativeHeight="251659264" behindDoc="0" locked="0" layoutInCell="1" allowOverlap="1" wp14:anchorId="7AD1CF38" wp14:editId="5949E758">
                <wp:simplePos x="0" y="0"/>
                <wp:positionH relativeFrom="column">
                  <wp:posOffset>5715</wp:posOffset>
                </wp:positionH>
                <wp:positionV relativeFrom="paragraph">
                  <wp:posOffset>54610</wp:posOffset>
                </wp:positionV>
                <wp:extent cx="5816600" cy="0"/>
                <wp:effectExtent l="0" t="0" r="12700" b="12700"/>
                <wp:wrapNone/>
                <wp:docPr id="2" name="Egyenes összekötő 2"/>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2293238" id="Egyenes összekötő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3pt" to="458.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" strokecolor="#4472c4 [3204]" strokeweight=".5pt">
                <v:stroke joinstyle="miter"/>
              </v:line>
            </w:pict>
          </mc:Fallback>
        </mc:AlternateContent>
      </w:r>
    </w:p>
    <w:p w14:paraId="27064120" w14:textId="77777777" w:rsidR="00335766" w:rsidRPr="00976EEF" w:rsidRDefault="00335766" w:rsidP="00335766">
      <w:pPr>
        <w:pStyle w:val="Default"/>
        <w:jc w:val="center"/>
        <w:rPr>
          <w:b/>
          <w:bCs/>
        </w:rPr>
      </w:pPr>
      <w:r w:rsidRPr="00976EEF">
        <w:rPr>
          <w:b/>
          <w:bCs/>
        </w:rPr>
        <w:t>EUD2021. 1.</w:t>
      </w:r>
    </w:p>
    <w:p w14:paraId="35FD2205" w14:textId="77777777" w:rsidR="00335766" w:rsidRPr="00976EEF" w:rsidRDefault="00335766" w:rsidP="00335766">
      <w:pPr>
        <w:pStyle w:val="Default"/>
        <w:jc w:val="center"/>
      </w:pPr>
    </w:p>
    <w:p w14:paraId="4B0EF8E6" w14:textId="77777777" w:rsidR="00335766" w:rsidRDefault="00335766" w:rsidP="00335766">
      <w:pPr>
        <w:pStyle w:val="Default"/>
        <w:jc w:val="center"/>
        <w:rPr>
          <w:b/>
          <w:bCs/>
        </w:rPr>
      </w:pPr>
      <w:r w:rsidRPr="00976EEF">
        <w:rPr>
          <w:b/>
          <w:bCs/>
        </w:rPr>
        <w:t>Magyarország, valamint az Európai Unió pénzügyi érdekeit sértő szabálytalanság megállapítása és a támogatási szerződésben vállalt kötelezettség megszegése megalapozza a támogatási szerződéstől való elállást</w:t>
      </w:r>
    </w:p>
    <w:p w14:paraId="186F7CA7" w14:textId="77777777" w:rsidR="00335766" w:rsidRPr="00976EEF" w:rsidRDefault="00335766" w:rsidP="00335766">
      <w:pPr>
        <w:pStyle w:val="Default"/>
        <w:jc w:val="center"/>
        <w:rPr>
          <w:b/>
          <w:bCs/>
        </w:rPr>
      </w:pPr>
    </w:p>
    <w:p w14:paraId="080DD821" w14:textId="77777777" w:rsidR="00335766" w:rsidRDefault="00335766" w:rsidP="00335766">
      <w:pPr>
        <w:pStyle w:val="Default"/>
        <w:jc w:val="both"/>
        <w:rPr>
          <w:i/>
          <w:iCs/>
        </w:rPr>
      </w:pPr>
      <w:r w:rsidRPr="00976EEF">
        <w:rPr>
          <w:i/>
          <w:iCs/>
        </w:rPr>
        <w:t>Eredeti ügyszám: Kúria Pfv.V.20.165/2021/5.</w:t>
      </w:r>
    </w:p>
    <w:p w14:paraId="16292C14" w14:textId="77777777" w:rsidR="00335766" w:rsidRPr="00976EEF" w:rsidRDefault="00335766" w:rsidP="00335766">
      <w:pPr>
        <w:pStyle w:val="Default"/>
        <w:jc w:val="both"/>
        <w:rPr>
          <w:i/>
          <w:iCs/>
        </w:rPr>
      </w:pPr>
    </w:p>
    <w:p w14:paraId="448CB6AF" w14:textId="77777777" w:rsidR="00335766" w:rsidRDefault="00335766" w:rsidP="00335766">
      <w:pPr>
        <w:pStyle w:val="Default"/>
        <w:jc w:val="both"/>
        <w:rPr>
          <w:i/>
          <w:iCs/>
        </w:rPr>
      </w:pPr>
      <w:r w:rsidRPr="00976EEF">
        <w:rPr>
          <w:i/>
          <w:iCs/>
        </w:rPr>
        <w:t>Alkalmazott jogszabályhelyek: a Polgári Törvénykönyvről szóló 1959. évi IV. törvény 319. § (3) bekezdés, 320. § (1) bekezdés; a 2007</w:t>
      </w:r>
      <w:r>
        <w:rPr>
          <w:i/>
          <w:iCs/>
        </w:rPr>
        <w:t>–</w:t>
      </w:r>
      <w:r w:rsidRPr="00976EEF">
        <w:rPr>
          <w:i/>
          <w:iCs/>
        </w:rPr>
        <w:t>2013 programozási időszakban az Európai Regionális Fejlesztési Alapból, az Európai Szociális Alapból és a Kohéziós Alapból származó támogatások felhasználásának rendjéről szóló 4/2011. (I. 28.) Korm. rendelet 123. §; a polgári perrendtartásról szóló 1952. évi III. törvény 206. § (1) bekezdés</w:t>
      </w:r>
    </w:p>
    <w:p w14:paraId="654932FC" w14:textId="77777777" w:rsidR="00335766" w:rsidRPr="00976EEF" w:rsidRDefault="00335766" w:rsidP="00335766">
      <w:pPr>
        <w:pStyle w:val="Default"/>
        <w:jc w:val="both"/>
        <w:rPr>
          <w:i/>
          <w:iCs/>
        </w:rPr>
      </w:pPr>
    </w:p>
    <w:p w14:paraId="4435DE77" w14:textId="77777777" w:rsidR="00335766" w:rsidRDefault="00335766" w:rsidP="00335766">
      <w:pPr>
        <w:pStyle w:val="Default"/>
        <w:jc w:val="both"/>
        <w:rPr>
          <w:i/>
          <w:iCs/>
        </w:rPr>
      </w:pPr>
      <w:r w:rsidRPr="00976EEF">
        <w:rPr>
          <w:i/>
          <w:iCs/>
        </w:rPr>
        <w:t xml:space="preserve">Címkék: Európai Regionális Fejlesztési Alap, </w:t>
      </w:r>
      <w:r w:rsidRPr="00976EEF">
        <w:rPr>
          <w:i/>
          <w:iCs/>
          <w:kern w:val="24"/>
        </w:rPr>
        <w:t>irányító hatóság,</w:t>
      </w:r>
      <w:r w:rsidRPr="00976EEF">
        <w:rPr>
          <w:i/>
          <w:iCs/>
        </w:rPr>
        <w:t xml:space="preserve"> pályázat, projekt, szabálytalanság, szabálytalansági eljárás, támogatás, </w:t>
      </w:r>
      <w:r w:rsidRPr="00976EEF">
        <w:rPr>
          <w:i/>
          <w:iCs/>
          <w:kern w:val="24"/>
        </w:rPr>
        <w:t>támogatási jogviszony,</w:t>
      </w:r>
      <w:r w:rsidRPr="00976EEF">
        <w:rPr>
          <w:i/>
          <w:iCs/>
        </w:rPr>
        <w:t xml:space="preserve"> támogatási összeg, támogatási szerződés, támogatói okirat, vállalkozásfejlesztés</w:t>
      </w:r>
    </w:p>
    <w:p w14:paraId="61A44ACD" w14:textId="77777777" w:rsidR="00335766" w:rsidRPr="00976EEF" w:rsidRDefault="00335766" w:rsidP="00335766">
      <w:pPr>
        <w:pStyle w:val="Default"/>
        <w:jc w:val="both"/>
        <w:rPr>
          <w:i/>
          <w:iCs/>
        </w:rPr>
      </w:pPr>
    </w:p>
    <w:p w14:paraId="76D696ED" w14:textId="77777777" w:rsidR="00335766" w:rsidRPr="00976EEF" w:rsidRDefault="00335766" w:rsidP="00335766">
      <w:pPr>
        <w:pStyle w:val="Standard"/>
        <w:tabs>
          <w:tab w:val="left" w:pos="570"/>
        </w:tabs>
      </w:pPr>
      <w:r w:rsidRPr="00976EEF">
        <w:rPr>
          <w:kern w:val="24"/>
        </w:rPr>
        <w:t xml:space="preserve">[1] Az alperes </w:t>
      </w:r>
      <w:proofErr w:type="gramStart"/>
      <w:r w:rsidRPr="00976EEF">
        <w:rPr>
          <w:kern w:val="24"/>
        </w:rPr>
        <w:t>jogelődje</w:t>
      </w:r>
      <w:proofErr w:type="gramEnd"/>
      <w:r w:rsidRPr="00976EEF">
        <w:rPr>
          <w:kern w:val="24"/>
        </w:rPr>
        <w:t xml:space="preserve"> mint az operatív program irányításáért és végrehajtásáért felelős szervezeti egység</w:t>
      </w:r>
      <w:r w:rsidRPr="00976EEF">
        <w:t xml:space="preserve"> (a továbbiakban:</w:t>
      </w:r>
      <w:r w:rsidRPr="00976EEF">
        <w:rPr>
          <w:kern w:val="24"/>
        </w:rPr>
        <w:t xml:space="preserve"> irányító hatóság) 2012-ben vállalkozásfejlesztést célzó pályázatot írt ki</w:t>
      </w:r>
      <w:r w:rsidRPr="00976EEF">
        <w:t xml:space="preserve">. A felperes e pályázati </w:t>
      </w:r>
      <w:r w:rsidRPr="00976EEF">
        <w:rPr>
          <w:kern w:val="24"/>
        </w:rPr>
        <w:t xml:space="preserve">kiírására pályázatot nyújtott be, amelyet az irányító hatóság támogatásra alkalmasnak minősített. Ennek eredményeként az irányító hatóság 2013-ban támogatói okiratot bocsátott ki, amelynek révén a nevében közreműködő szervezet és a támogatásban részesített </w:t>
      </w:r>
      <w:proofErr w:type="gramStart"/>
      <w:r w:rsidRPr="00976EEF">
        <w:rPr>
          <w:kern w:val="24"/>
        </w:rPr>
        <w:t>felperes</w:t>
      </w:r>
      <w:proofErr w:type="gramEnd"/>
      <w:r w:rsidRPr="00976EEF">
        <w:rPr>
          <w:kern w:val="24"/>
        </w:rPr>
        <w:t xml:space="preserve"> mint kedvezményezett között támogatási jogviszony jött létre. A többször módosított támogatói okirat szerint </w:t>
      </w:r>
      <w:r w:rsidRPr="00976EEF">
        <w:t xml:space="preserve">a támogatási jogviszony tárgya a projektadatlap és hozzá tartozó mellékletben rögzített </w:t>
      </w:r>
      <w:r w:rsidRPr="00976EEF">
        <w:rPr>
          <w:iCs/>
        </w:rPr>
        <w:t>projekt</w:t>
      </w:r>
      <w:r w:rsidRPr="00976EEF">
        <w:t xml:space="preserve"> elszámolható költségeinek vissza nem térítendő támogatás formájában történő utófinanszírozása, 85%-ban az Európai Regionális Fejlesztési Alapból és 15%-ban a hazai központi költségvetési irányzatból.</w:t>
      </w:r>
    </w:p>
    <w:p w14:paraId="2168F6FD" w14:textId="4D397F30" w:rsidR="00335766" w:rsidRDefault="00335766" w:rsidP="00335766">
      <w:pPr>
        <w:pStyle w:val="Standard"/>
        <w:tabs>
          <w:tab w:val="left" w:pos="570"/>
        </w:tabs>
      </w:pPr>
      <w:r w:rsidRPr="00976EEF">
        <w:t>[2] A projekt fizikai befejezése a beruházás utolsó elemének megvalósulásához kötődik. A záró beszámoló és a záró kifizetési igénylés benyújtásának határideje a projekt fizikai befejezését követő nap, de legkésőbb 2014. március 31-e. A projekt akkor minősül befejezettnek, ha a támogatott tevékenység a támogatói okiratban meghatározottak szerint teljesült, a megvalósítás során keletkezett számlák kiegyenlítése megtörtént, a támogatással létrehozott vagy beszerzett eszközt aktiválták és a kedvezményezettnek a támogatott tevékenység befejezését tanúsító hatósági engedélyekkel és bizonylatokkal alátámasztott záróbeszámolóját, pénzügyi elszámolását a közreműködő szervezet jóváhagyta és a költségvetésből nyújtott támogatás folyósítása, az igazolt támogatás felhasználásának megfelelő mértékben megtörtént. A projekt akkor lezárt, ha valamennyi vállalt kötelezettség – erre irányuló vállalás esetén a támogatott tevékenység befejezését követő időszakra is kiterjedően – teljesült, és a kedvezményezett az eredményekről szóló záró projektfenntartási jelentését benyújtotta, továbbá azt a támogató jóváhagyta.</w:t>
      </w:r>
    </w:p>
    <w:p w14:paraId="4344D04E" w14:textId="77777777" w:rsidR="00FD6B54" w:rsidRPr="00976EEF" w:rsidRDefault="00FD6B54" w:rsidP="00FD6B54">
      <w:pPr>
        <w:pStyle w:val="Standard"/>
        <w:tabs>
          <w:tab w:val="left" w:pos="570"/>
        </w:tabs>
      </w:pPr>
      <w:r w:rsidRPr="00976EEF">
        <w:lastRenderedPageBreak/>
        <w:t>[3] A projekt áfával növelt összköltsége 15</w:t>
      </w:r>
      <w:r>
        <w:t> </w:t>
      </w:r>
      <w:r w:rsidRPr="00976EEF">
        <w:t>237</w:t>
      </w:r>
      <w:r>
        <w:t> </w:t>
      </w:r>
      <w:r w:rsidRPr="00976EEF">
        <w:t>000 forint volt. A támogatás mértéke a projekt elszámolható költségének 45%-a, de legfeljebb 6</w:t>
      </w:r>
      <w:r>
        <w:t> </w:t>
      </w:r>
      <w:r w:rsidRPr="00976EEF">
        <w:t>856</w:t>
      </w:r>
      <w:r>
        <w:t> </w:t>
      </w:r>
      <w:r w:rsidRPr="00976EEF">
        <w:t>650 forint. A teljes összeg 85%-</w:t>
      </w:r>
      <w:proofErr w:type="spellStart"/>
      <w:r w:rsidRPr="00976EEF">
        <w:t>ának</w:t>
      </w:r>
      <w:proofErr w:type="spellEnd"/>
      <w:r w:rsidRPr="00976EEF">
        <w:t>, azaz 5</w:t>
      </w:r>
      <w:r>
        <w:t> </w:t>
      </w:r>
      <w:r w:rsidRPr="00976EEF">
        <w:t>828</w:t>
      </w:r>
      <w:r>
        <w:t> </w:t>
      </w:r>
      <w:r w:rsidRPr="00976EEF">
        <w:t>153 forintnak a forrása az Európai Regionális Fejlesztési Alap, 15%-a, azaz 1</w:t>
      </w:r>
      <w:r>
        <w:t> </w:t>
      </w:r>
      <w:r w:rsidRPr="00976EEF">
        <w:t>028</w:t>
      </w:r>
      <w:r>
        <w:t> </w:t>
      </w:r>
      <w:r w:rsidRPr="00976EEF">
        <w:t>498 forint pedig Magyarország központi költségvetéséből származott.</w:t>
      </w:r>
    </w:p>
    <w:p w14:paraId="41F82AA9" w14:textId="77777777" w:rsidR="00FD6B54" w:rsidRPr="00976EEF" w:rsidRDefault="00FD6B54" w:rsidP="00FD6B54">
      <w:pPr>
        <w:pStyle w:val="Standard"/>
        <w:tabs>
          <w:tab w:val="left" w:pos="570"/>
        </w:tabs>
      </w:pPr>
      <w:r w:rsidRPr="00976EEF">
        <w:t xml:space="preserve">[4] A támogatói okiratnak az általános szerződési feltételek (a továbbiakban: ÁSZF) is a részét képezték. Az ÁSZF 7.1.3. </w:t>
      </w:r>
      <w:r w:rsidRPr="00976EEF">
        <w:rPr>
          <w:i/>
          <w:iCs/>
        </w:rPr>
        <w:t>a)</w:t>
      </w:r>
      <w:r w:rsidRPr="00976EEF">
        <w:t xml:space="preserve">, </w:t>
      </w:r>
      <w:r w:rsidRPr="00976EEF">
        <w:rPr>
          <w:i/>
          <w:iCs/>
        </w:rPr>
        <w:t>b)</w:t>
      </w:r>
      <w:r w:rsidRPr="00976EEF">
        <w:t xml:space="preserve">, </w:t>
      </w:r>
      <w:r w:rsidRPr="00976EEF">
        <w:rPr>
          <w:i/>
          <w:iCs/>
        </w:rPr>
        <w:t>e)</w:t>
      </w:r>
      <w:r w:rsidRPr="00976EEF">
        <w:t xml:space="preserve"> pontjai értelmében a szerződés kedvezményezett általi megszegésének minősül, ha</w:t>
      </w:r>
    </w:p>
    <w:p w14:paraId="68896591" w14:textId="77777777" w:rsidR="00FD6B54" w:rsidRPr="00976EEF" w:rsidRDefault="00FD6B54" w:rsidP="00FD6B54">
      <w:pPr>
        <w:pStyle w:val="Standard"/>
        <w:tabs>
          <w:tab w:val="left" w:pos="570"/>
        </w:tabs>
      </w:pPr>
      <w:r w:rsidRPr="00976EEF">
        <w:rPr>
          <w:i/>
          <w:iCs/>
        </w:rPr>
        <w:t>a)</w:t>
      </w:r>
      <w:r w:rsidRPr="00976EEF">
        <w:t xml:space="preserve"> a kedvezményezett a szerződés, annak melléklete vagy az ÁSZF teljesítésével összefüggésben keletkezett, jogszabályon vagy a szerződésen alapuló egyéb kötelezettségét megszegi, annak nem, vagy határidőben nem tesz eleget, így különösen, ha a kedvezményezett a projekt támogathatósága szempontjából releváns körülményekben bekövetkezett változás folytán már nem felel meg a pályázati feltételeknek;</w:t>
      </w:r>
    </w:p>
    <w:p w14:paraId="7A0A5326" w14:textId="77777777" w:rsidR="00FD6B54" w:rsidRPr="00976EEF" w:rsidRDefault="00FD6B54" w:rsidP="00FD6B54">
      <w:pPr>
        <w:pStyle w:val="Standard"/>
        <w:tabs>
          <w:tab w:val="left" w:pos="570"/>
        </w:tabs>
      </w:pPr>
      <w:r w:rsidRPr="00976EEF">
        <w:rPr>
          <w:i/>
          <w:iCs/>
        </w:rPr>
        <w:t>b)</w:t>
      </w:r>
      <w:r w:rsidRPr="00976EEF">
        <w:t xml:space="preserve"> a kedvezményezett nem tesz eleget, illetve határidőben nem tesz eleget a szerződésben, ÁSZF-ben vagy a jogszabályban foglalt tájékoztatási, bejelentési, nyilatkozattételi, információszolgáltatási és egyéb együttműködési kötelezettségének;</w:t>
      </w:r>
      <w:r>
        <w:t xml:space="preserve"> </w:t>
      </w:r>
      <w:r w:rsidRPr="007E3FB1">
        <w:t>[…]</w:t>
      </w:r>
    </w:p>
    <w:p w14:paraId="52D8092C" w14:textId="3320A2E0" w:rsidR="00335766" w:rsidRDefault="00FD6B54" w:rsidP="00335766">
      <w:pPr>
        <w:pStyle w:val="Standard"/>
        <w:tabs>
          <w:tab w:val="left" w:pos="570"/>
        </w:tabs>
      </w:pPr>
      <w:r w:rsidRPr="00976EEF">
        <w:rPr>
          <w:i/>
          <w:iCs/>
        </w:rPr>
        <w:t>e)</w:t>
      </w:r>
      <w:r w:rsidRPr="00976EEF">
        <w:t xml:space="preserve"> ha a kedvezményezett a projekt fenntartási időszakára előírt kötelezettségét nem teljesíti.</w:t>
      </w:r>
    </w:p>
    <w:p w14:paraId="42FD5993" w14:textId="77777777" w:rsidR="0001616F" w:rsidRPr="00976EEF" w:rsidRDefault="0001616F" w:rsidP="00335766">
      <w:pPr>
        <w:pStyle w:val="Standard"/>
        <w:tabs>
          <w:tab w:val="left" w:pos="570"/>
        </w:tabs>
      </w:pPr>
    </w:p>
    <w:p w14:paraId="44E4BED7" w14:textId="77777777" w:rsidR="00335766" w:rsidRPr="00976EEF" w:rsidRDefault="00335766" w:rsidP="00335766">
      <w:pPr>
        <w:pStyle w:val="Standard"/>
        <w:tabs>
          <w:tab w:val="left" w:pos="570"/>
        </w:tabs>
        <w:rPr>
          <w:i/>
          <w:iCs/>
        </w:rPr>
      </w:pPr>
      <w:r w:rsidRPr="00976EEF">
        <w:rPr>
          <w:i/>
          <w:iCs/>
        </w:rPr>
        <w:t>Eljáró bíróság: Kúria</w:t>
      </w:r>
      <w:r>
        <w:rPr>
          <w:i/>
          <w:iCs/>
        </w:rPr>
        <w:t xml:space="preserve">, </w:t>
      </w:r>
      <w:r w:rsidRPr="00B87E5A">
        <w:rPr>
          <w:i/>
          <w:iCs/>
        </w:rPr>
        <w:t>2021. április 29.</w:t>
      </w:r>
    </w:p>
    <w:p w14:paraId="167A207D" w14:textId="77777777" w:rsidR="00335766" w:rsidRPr="00976EEF" w:rsidRDefault="00335766" w:rsidP="00335766">
      <w:pPr>
        <w:pStyle w:val="Standard"/>
        <w:tabs>
          <w:tab w:val="left" w:pos="570"/>
        </w:tabs>
        <w:rPr>
          <w:i/>
          <w:iCs/>
        </w:rPr>
      </w:pPr>
    </w:p>
    <w:p w14:paraId="663D21D7" w14:textId="6042D652" w:rsidR="00335766" w:rsidRPr="00976EEF" w:rsidRDefault="00335766" w:rsidP="00335766">
      <w:pPr>
        <w:pStyle w:val="Standard"/>
        <w:tabs>
          <w:tab w:val="left" w:pos="570"/>
        </w:tabs>
        <w:rPr>
          <w:i/>
          <w:iCs/>
        </w:rPr>
      </w:pPr>
      <w:r w:rsidRPr="00976EEF">
        <w:rPr>
          <w:i/>
          <w:iCs/>
        </w:rPr>
        <w:t>Ügyszám: P</w:t>
      </w:r>
      <w:r w:rsidR="00747631">
        <w:rPr>
          <w:i/>
          <w:iCs/>
        </w:rPr>
        <w:t>fv</w:t>
      </w:r>
      <w:r w:rsidRPr="00976EEF">
        <w:rPr>
          <w:i/>
          <w:iCs/>
        </w:rPr>
        <w:t>.V.20.165/2021/5</w:t>
      </w:r>
      <w:r>
        <w:rPr>
          <w:i/>
          <w:iCs/>
        </w:rPr>
        <w:t>.</w:t>
      </w:r>
    </w:p>
    <w:p w14:paraId="52482B6B" w14:textId="77777777" w:rsidR="00335766" w:rsidRPr="00976EEF" w:rsidRDefault="00335766" w:rsidP="00335766">
      <w:pPr>
        <w:pStyle w:val="Standard"/>
        <w:tabs>
          <w:tab w:val="left" w:pos="570"/>
        </w:tabs>
        <w:rPr>
          <w:i/>
          <w:iCs/>
        </w:rPr>
      </w:pPr>
    </w:p>
    <w:p w14:paraId="35B67A71" w14:textId="77777777" w:rsidR="00335766" w:rsidRPr="00976EEF" w:rsidRDefault="00335766" w:rsidP="00335766">
      <w:pPr>
        <w:pStyle w:val="Standard"/>
        <w:tabs>
          <w:tab w:val="left" w:pos="570"/>
        </w:tabs>
      </w:pPr>
      <w:r w:rsidRPr="00976EEF">
        <w:rPr>
          <w:i/>
          <w:iCs/>
        </w:rPr>
        <w:t>Elérhetőség: Bírósági Határozatok Gyűjteménye</w:t>
      </w:r>
    </w:p>
    <w:p w14:paraId="34842156" w14:textId="77777777" w:rsidR="00335766" w:rsidRPr="00976EEF" w:rsidRDefault="00335766" w:rsidP="00335766">
      <w:pPr>
        <w:pStyle w:val="Default"/>
        <w:jc w:val="both"/>
      </w:pPr>
    </w:p>
    <w:p w14:paraId="4BFFA361" w14:textId="77777777" w:rsidR="00335766" w:rsidRPr="00976EEF" w:rsidRDefault="00335766" w:rsidP="00335766">
      <w:pPr>
        <w:pStyle w:val="Default"/>
        <w:jc w:val="both"/>
        <w:rPr>
          <w:i/>
          <w:iCs/>
        </w:rPr>
      </w:pPr>
      <w:r w:rsidRPr="00976EEF">
        <w:rPr>
          <w:i/>
          <w:iCs/>
        </w:rPr>
        <w:t>(Megjelent: EU Jog Online, 2021/1</w:t>
      </w:r>
      <w:r>
        <w:rPr>
          <w:i/>
          <w:iCs/>
        </w:rPr>
        <w:t>–</w:t>
      </w:r>
      <w:r w:rsidRPr="00976EEF">
        <w:rPr>
          <w:i/>
          <w:iCs/>
        </w:rPr>
        <w:t>2. sz.)</w:t>
      </w:r>
    </w:p>
    <w:p w14:paraId="292B907D" w14:textId="77777777" w:rsidR="00335766" w:rsidRPr="00976EEF" w:rsidRDefault="00335766" w:rsidP="00335766">
      <w:pPr>
        <w:pStyle w:val="Default"/>
        <w:jc w:val="both"/>
        <w:rPr>
          <w:i/>
          <w:iCs/>
        </w:rPr>
      </w:pPr>
    </w:p>
    <w:p w14:paraId="08E603C5" w14:textId="6FA54F5B" w:rsidR="00B92E7E" w:rsidRDefault="00335766" w:rsidP="00335766">
      <w:pPr>
        <w:pStyle w:val="Default"/>
        <w:jc w:val="both"/>
        <w:rPr>
          <w:i/>
          <w:iCs/>
        </w:rPr>
      </w:pPr>
      <w:r w:rsidRPr="00976EEF">
        <w:rPr>
          <w:i/>
          <w:iCs/>
        </w:rPr>
        <w:t xml:space="preserve">Szerkesztette: </w:t>
      </w:r>
      <w:proofErr w:type="spellStart"/>
      <w:r w:rsidRPr="00976EEF">
        <w:rPr>
          <w:i/>
          <w:iCs/>
        </w:rPr>
        <w:t>Selnicean</w:t>
      </w:r>
      <w:proofErr w:type="spellEnd"/>
      <w:r w:rsidRPr="00976EEF">
        <w:rPr>
          <w:i/>
          <w:iCs/>
        </w:rPr>
        <w:t xml:space="preserve"> László</w:t>
      </w:r>
    </w:p>
    <w:p w14:paraId="33E24208" w14:textId="3068F303" w:rsidR="00D55EE0" w:rsidRDefault="00D55EE0" w:rsidP="00335766">
      <w:pPr>
        <w:pStyle w:val="Default"/>
        <w:jc w:val="both"/>
        <w:rPr>
          <w:i/>
          <w:iCs/>
        </w:rPr>
      </w:pPr>
      <w:r>
        <w:rPr>
          <w:i/>
          <w:iCs/>
        </w:rPr>
        <w:t>___________________________________________________________________________</w:t>
      </w:r>
    </w:p>
    <w:p w14:paraId="1C2BDAA4" w14:textId="77777777" w:rsidR="0001616F" w:rsidRDefault="0001616F" w:rsidP="00335766">
      <w:pPr>
        <w:pStyle w:val="Default"/>
        <w:jc w:val="both"/>
        <w:rPr>
          <w:i/>
          <w:iCs/>
        </w:rPr>
      </w:pPr>
    </w:p>
    <w:p w14:paraId="025826C7" w14:textId="77777777" w:rsidR="0001616F" w:rsidRPr="0001616F" w:rsidRDefault="0001616F" w:rsidP="0001616F">
      <w:pPr>
        <w:spacing w:after="0" w:line="240" w:lineRule="auto"/>
        <w:jc w:val="center"/>
        <w:rPr>
          <w:rFonts w:ascii="Times New Roman" w:hAnsi="Times New Roman" w:cs="Times New Roman"/>
          <w:sz w:val="24"/>
          <w:szCs w:val="24"/>
        </w:rPr>
      </w:pPr>
      <w:r w:rsidRPr="0001616F">
        <w:rPr>
          <w:rFonts w:ascii="Times New Roman" w:hAnsi="Times New Roman" w:cs="Times New Roman"/>
          <w:b/>
          <w:sz w:val="24"/>
          <w:szCs w:val="24"/>
        </w:rPr>
        <w:t>EUD2021. 2.</w:t>
      </w:r>
    </w:p>
    <w:p w14:paraId="0AD448E8" w14:textId="77777777" w:rsidR="0001616F" w:rsidRPr="0001616F" w:rsidRDefault="0001616F" w:rsidP="0001616F">
      <w:pPr>
        <w:spacing w:after="0" w:line="240" w:lineRule="auto"/>
        <w:jc w:val="both"/>
        <w:rPr>
          <w:rFonts w:ascii="Times New Roman" w:hAnsi="Times New Roman" w:cs="Times New Roman"/>
          <w:sz w:val="24"/>
          <w:szCs w:val="24"/>
        </w:rPr>
      </w:pPr>
    </w:p>
    <w:p w14:paraId="0CFDB0FF" w14:textId="77777777" w:rsidR="0001616F" w:rsidRPr="0001616F" w:rsidRDefault="0001616F" w:rsidP="0001616F">
      <w:pPr>
        <w:spacing w:after="0" w:line="240" w:lineRule="auto"/>
        <w:jc w:val="center"/>
        <w:rPr>
          <w:rFonts w:ascii="Times New Roman" w:hAnsi="Times New Roman" w:cs="Times New Roman"/>
          <w:sz w:val="24"/>
          <w:szCs w:val="24"/>
        </w:rPr>
      </w:pPr>
      <w:r w:rsidRPr="0001616F">
        <w:rPr>
          <w:rFonts w:ascii="Times New Roman" w:hAnsi="Times New Roman" w:cs="Times New Roman"/>
          <w:b/>
          <w:sz w:val="24"/>
          <w:szCs w:val="24"/>
        </w:rPr>
        <w:t>I. A 2002/584 kerethatározatot úgy kell értelmezni, hogy a „kibocsátó igazságügyi hatóságnak” minősülés nem függ az európai elfogatóparancs kibocsátásáról szóló határozat és az annak alapjául szolgáló nemzeti határozat bírósági felülvizsgálatának lehetőségétől.</w:t>
      </w:r>
    </w:p>
    <w:p w14:paraId="7B7BE065" w14:textId="77777777" w:rsidR="0001616F" w:rsidRPr="0001616F" w:rsidRDefault="0001616F" w:rsidP="0001616F">
      <w:pPr>
        <w:spacing w:after="0" w:line="240" w:lineRule="auto"/>
        <w:jc w:val="center"/>
        <w:rPr>
          <w:rFonts w:ascii="Times New Roman" w:hAnsi="Times New Roman" w:cs="Times New Roman"/>
          <w:sz w:val="24"/>
          <w:szCs w:val="24"/>
        </w:rPr>
      </w:pPr>
    </w:p>
    <w:p w14:paraId="5A5C755C" w14:textId="77777777" w:rsidR="0001616F" w:rsidRPr="0001616F" w:rsidRDefault="0001616F" w:rsidP="0001616F">
      <w:pPr>
        <w:spacing w:after="0" w:line="240" w:lineRule="auto"/>
        <w:jc w:val="center"/>
        <w:rPr>
          <w:rFonts w:ascii="Times New Roman" w:hAnsi="Times New Roman" w:cs="Times New Roman"/>
          <w:sz w:val="24"/>
          <w:szCs w:val="24"/>
        </w:rPr>
      </w:pPr>
      <w:r w:rsidRPr="0001616F">
        <w:rPr>
          <w:rFonts w:ascii="Times New Roman" w:hAnsi="Times New Roman" w:cs="Times New Roman"/>
          <w:b/>
          <w:sz w:val="24"/>
          <w:szCs w:val="24"/>
        </w:rPr>
        <w:t>II. A 2002/584 kerethatározatot úgy kell értelmezni, hogy az európai elfogatóparancsot érvénytelennek kell tekinteni, amennyiben az nem „[nemzeti] elfogatóparancson vagy más, azonos joghatállyal bíró végrehajtható bírósági határozaton” alapul. E fogalom azon nemzeti intézkedésekre vonatkozik, amelyeket valamely igazságügyi hatóság a büntetőeljárás alá vont személy felkutatása és elfogása céljából hoz annak érdekében, hogy ezt a személyt a büntetőeljárási cselekmények elvégzése céljából bíróság elé állítsák. A kérdést előterjesztő bíróság feladata annak vizsgálata, hogy ilyen joghatásokat vált-e ki az olyan, gyanúsítottá nyilvánító nemzeti jogi aktus, amely az alapügyben szóban forgó európai elfogatóparancs alapjául szolgál.</w:t>
      </w:r>
    </w:p>
    <w:p w14:paraId="280F284F" w14:textId="77777777" w:rsidR="0001616F" w:rsidRPr="0001616F" w:rsidRDefault="0001616F" w:rsidP="0001616F">
      <w:pPr>
        <w:spacing w:after="0" w:line="240" w:lineRule="auto"/>
        <w:jc w:val="center"/>
        <w:rPr>
          <w:rFonts w:ascii="Times New Roman" w:hAnsi="Times New Roman" w:cs="Times New Roman"/>
          <w:sz w:val="24"/>
          <w:szCs w:val="24"/>
        </w:rPr>
      </w:pPr>
    </w:p>
    <w:p w14:paraId="688A2907" w14:textId="77777777" w:rsidR="0001616F" w:rsidRPr="0001616F" w:rsidRDefault="0001616F" w:rsidP="0001616F">
      <w:pPr>
        <w:spacing w:after="0" w:line="240" w:lineRule="auto"/>
        <w:jc w:val="center"/>
        <w:rPr>
          <w:rFonts w:ascii="Times New Roman" w:hAnsi="Times New Roman" w:cs="Times New Roman"/>
          <w:sz w:val="24"/>
          <w:szCs w:val="24"/>
        </w:rPr>
      </w:pPr>
      <w:r w:rsidRPr="0001616F">
        <w:rPr>
          <w:rFonts w:ascii="Times New Roman" w:hAnsi="Times New Roman" w:cs="Times New Roman"/>
          <w:b/>
          <w:sz w:val="24"/>
          <w:szCs w:val="24"/>
        </w:rPr>
        <w:t>III. A 2002/584 kerethatározatot az Európai Unió Alapjogi Charta 47. cikke fényében úgy kell értelmezni, hogy a tagállami bíróságnak külön tagállami felhatalmazás hiányában is hatásköre van az európai elfogatóparancs érvényességének felülvizsgálatára.</w:t>
      </w:r>
    </w:p>
    <w:p w14:paraId="1754D294" w14:textId="77777777" w:rsidR="0001616F" w:rsidRPr="0001616F" w:rsidRDefault="0001616F" w:rsidP="0001616F">
      <w:pPr>
        <w:spacing w:after="0" w:line="240" w:lineRule="auto"/>
        <w:jc w:val="center"/>
        <w:rPr>
          <w:rFonts w:ascii="Times New Roman" w:hAnsi="Times New Roman" w:cs="Times New Roman"/>
          <w:sz w:val="24"/>
          <w:szCs w:val="24"/>
        </w:rPr>
      </w:pPr>
    </w:p>
    <w:p w14:paraId="2C1F33DC" w14:textId="77777777" w:rsidR="0001616F" w:rsidRPr="0001616F" w:rsidRDefault="0001616F" w:rsidP="0001616F">
      <w:pPr>
        <w:spacing w:after="0" w:line="240" w:lineRule="auto"/>
        <w:jc w:val="center"/>
        <w:rPr>
          <w:rFonts w:ascii="Times New Roman" w:hAnsi="Times New Roman" w:cs="Times New Roman"/>
          <w:sz w:val="24"/>
          <w:szCs w:val="24"/>
        </w:rPr>
      </w:pPr>
      <w:r w:rsidRPr="0001616F">
        <w:rPr>
          <w:rFonts w:ascii="Times New Roman" w:hAnsi="Times New Roman" w:cs="Times New Roman"/>
          <w:b/>
          <w:sz w:val="24"/>
          <w:szCs w:val="24"/>
        </w:rPr>
        <w:lastRenderedPageBreak/>
        <w:t>IV. A 2002/584 kerethatározatot az Európai Unió Alapjogi Charta 47. cikke alapján úgy kell értelmezni, hogy a tagállami bíróság feladata, hogy nemzeti jogának megfelelően meghatározza, milyen következményekkel járhat az ilyen nemzeti jogi aktus hiánya – így a szóban forgó európai elfogatóparancs jogalapjának hiánya – a terhelt előzetes letartóztatásának fenntartására vagy annak mellőzésére vonatkozó döntés tekintetében.</w:t>
      </w:r>
    </w:p>
    <w:p w14:paraId="44154C53" w14:textId="77777777" w:rsidR="0001616F" w:rsidRPr="0001616F" w:rsidRDefault="0001616F" w:rsidP="0001616F">
      <w:pPr>
        <w:spacing w:after="0" w:line="240" w:lineRule="auto"/>
        <w:jc w:val="both"/>
        <w:rPr>
          <w:rFonts w:ascii="Times New Roman" w:hAnsi="Times New Roman" w:cs="Times New Roman"/>
          <w:sz w:val="24"/>
          <w:szCs w:val="24"/>
        </w:rPr>
      </w:pPr>
    </w:p>
    <w:p w14:paraId="001DD7FC" w14:textId="77777777" w:rsidR="0001616F" w:rsidRPr="0001616F" w:rsidRDefault="0001616F" w:rsidP="0001616F">
      <w:pPr>
        <w:spacing w:after="0" w:line="240" w:lineRule="auto"/>
        <w:jc w:val="both"/>
        <w:rPr>
          <w:rFonts w:ascii="Times New Roman" w:hAnsi="Times New Roman" w:cs="Times New Roman"/>
          <w:sz w:val="24"/>
          <w:szCs w:val="24"/>
        </w:rPr>
      </w:pPr>
      <w:r w:rsidRPr="0001616F">
        <w:rPr>
          <w:rFonts w:ascii="Times New Roman" w:hAnsi="Times New Roman" w:cs="Times New Roman"/>
          <w:i/>
          <w:sz w:val="24"/>
          <w:szCs w:val="24"/>
        </w:rPr>
        <w:t>Eredeti ügyszám: C-414/20. sz. ügy,</w:t>
      </w:r>
      <w:r w:rsidRPr="0001616F">
        <w:rPr>
          <w:rFonts w:ascii="Times New Roman" w:hAnsi="Times New Roman" w:cs="Times New Roman"/>
          <w:sz w:val="24"/>
          <w:szCs w:val="24"/>
        </w:rPr>
        <w:t xml:space="preserve"> </w:t>
      </w:r>
      <w:r w:rsidRPr="0001616F">
        <w:rPr>
          <w:rFonts w:ascii="Times New Roman" w:hAnsi="Times New Roman" w:cs="Times New Roman"/>
          <w:i/>
          <w:sz w:val="24"/>
          <w:szCs w:val="24"/>
        </w:rPr>
        <w:t>ECLI:EU:C:2021:4</w:t>
      </w:r>
    </w:p>
    <w:p w14:paraId="13F38B22" w14:textId="77777777" w:rsidR="0001616F" w:rsidRPr="0001616F" w:rsidRDefault="0001616F" w:rsidP="0001616F">
      <w:pPr>
        <w:spacing w:after="0" w:line="240" w:lineRule="auto"/>
        <w:jc w:val="both"/>
        <w:rPr>
          <w:rFonts w:ascii="Times New Roman" w:hAnsi="Times New Roman" w:cs="Times New Roman"/>
          <w:sz w:val="24"/>
          <w:szCs w:val="24"/>
        </w:rPr>
      </w:pPr>
    </w:p>
    <w:p w14:paraId="012D4DC1" w14:textId="77777777" w:rsidR="0001616F" w:rsidRPr="0001616F" w:rsidRDefault="0001616F" w:rsidP="0001616F">
      <w:pPr>
        <w:spacing w:after="0" w:line="240" w:lineRule="auto"/>
        <w:jc w:val="both"/>
        <w:rPr>
          <w:rFonts w:ascii="Times New Roman" w:hAnsi="Times New Roman" w:cs="Times New Roman"/>
          <w:sz w:val="24"/>
          <w:szCs w:val="24"/>
        </w:rPr>
      </w:pPr>
      <w:r w:rsidRPr="0001616F">
        <w:rPr>
          <w:rFonts w:ascii="Times New Roman" w:hAnsi="Times New Roman" w:cs="Times New Roman"/>
          <w:i/>
          <w:sz w:val="24"/>
          <w:szCs w:val="24"/>
        </w:rPr>
        <w:t>Alkalmazott jogszabályhelyek: a Tanács 2002/584/IB kerethatározata az európai elfogatóparancsról és a tagállamok közötti átadási eljárásokról 1. cikk (</w:t>
      </w:r>
      <w:proofErr w:type="gramStart"/>
      <w:r w:rsidRPr="0001616F">
        <w:rPr>
          <w:rFonts w:ascii="Times New Roman" w:hAnsi="Times New Roman" w:cs="Times New Roman"/>
          <w:i/>
          <w:sz w:val="24"/>
          <w:szCs w:val="24"/>
        </w:rPr>
        <w:t>1)–</w:t>
      </w:r>
      <w:proofErr w:type="gramEnd"/>
      <w:r w:rsidRPr="0001616F">
        <w:rPr>
          <w:rFonts w:ascii="Times New Roman" w:hAnsi="Times New Roman" w:cs="Times New Roman"/>
          <w:i/>
          <w:sz w:val="24"/>
          <w:szCs w:val="24"/>
        </w:rPr>
        <w:t>(3) bekezdés, 6. cikk (1)–(3) bekezdés, 8. cikk (1) bekezdés c) pont; Európai Unió Alapjogi Charta 47. cikk, 51. cikk (1) bekezdés</w:t>
      </w:r>
    </w:p>
    <w:p w14:paraId="420CA203" w14:textId="77777777" w:rsidR="0001616F" w:rsidRPr="0001616F" w:rsidRDefault="0001616F" w:rsidP="0001616F">
      <w:pPr>
        <w:spacing w:after="0" w:line="240" w:lineRule="auto"/>
        <w:jc w:val="both"/>
        <w:rPr>
          <w:rFonts w:ascii="Times New Roman" w:hAnsi="Times New Roman" w:cs="Times New Roman"/>
          <w:sz w:val="24"/>
          <w:szCs w:val="24"/>
        </w:rPr>
      </w:pPr>
    </w:p>
    <w:p w14:paraId="79B02243" w14:textId="77777777" w:rsidR="0001616F" w:rsidRPr="0001616F" w:rsidRDefault="0001616F" w:rsidP="0001616F">
      <w:pPr>
        <w:spacing w:after="0" w:line="240" w:lineRule="auto"/>
        <w:jc w:val="both"/>
        <w:rPr>
          <w:rFonts w:ascii="Times New Roman" w:hAnsi="Times New Roman" w:cs="Times New Roman"/>
          <w:sz w:val="24"/>
          <w:szCs w:val="24"/>
        </w:rPr>
      </w:pPr>
      <w:r w:rsidRPr="0001616F">
        <w:rPr>
          <w:rFonts w:ascii="Times New Roman" w:hAnsi="Times New Roman" w:cs="Times New Roman"/>
          <w:i/>
          <w:sz w:val="24"/>
          <w:szCs w:val="24"/>
        </w:rPr>
        <w:t>Címkék: előzetes döntéshozatali eljárás, sürgősségi előzetes döntéshozatali eljárás, büntetőügyekben folytatott igazságügyi együttműködés, európai elfogatóparancs, a Tanács 2002/584/IB kerethatározata (2002. június 13.) az európai elfogatóparancsról és a tagállamok közötti átadási eljárásokról, tagállamok közötti átadási eljárások, a gyanúsítottá nyilvánító nemzeti aktus alapján kibocsátott európai elfogatóparancs, az „elfogatóparancs vagy más, azonos joghatállyal bíró végrehajtható bírósági határozat” fogalma, a nemzeti elfogatóparancs hiánya, a nemzeti elfogatóparancs hiányának jogkövetkezményei, hatékony bírói jogvédelem, Európai Unió Alapjogi Charta</w:t>
      </w:r>
    </w:p>
    <w:p w14:paraId="751F65AA" w14:textId="77777777" w:rsidR="0001616F" w:rsidRPr="0001616F" w:rsidRDefault="0001616F" w:rsidP="0001616F">
      <w:pPr>
        <w:spacing w:after="0" w:line="240" w:lineRule="auto"/>
        <w:jc w:val="both"/>
        <w:rPr>
          <w:rFonts w:ascii="Times New Roman" w:hAnsi="Times New Roman" w:cs="Times New Roman"/>
          <w:sz w:val="24"/>
          <w:szCs w:val="24"/>
        </w:rPr>
      </w:pPr>
    </w:p>
    <w:p w14:paraId="508C1861" w14:textId="77777777" w:rsidR="0001616F" w:rsidRPr="0001616F" w:rsidRDefault="0001616F" w:rsidP="0001616F">
      <w:pPr>
        <w:spacing w:after="0" w:line="240" w:lineRule="auto"/>
        <w:jc w:val="both"/>
        <w:rPr>
          <w:rFonts w:ascii="Times New Roman" w:hAnsi="Times New Roman" w:cs="Times New Roman"/>
          <w:sz w:val="24"/>
          <w:szCs w:val="24"/>
        </w:rPr>
      </w:pPr>
      <w:r w:rsidRPr="0001616F">
        <w:rPr>
          <w:rFonts w:ascii="Times New Roman" w:hAnsi="Times New Roman" w:cs="Times New Roman"/>
          <w:sz w:val="24"/>
          <w:szCs w:val="24"/>
        </w:rPr>
        <w:t>[1] A Bulgáriában MM és 40 társa ellen kábítószer-kereskedelemmel foglalkozó bűnszervezetben való részvétel miatt folyamatban lévő büntetőeljárásban a terheltek közül tizenhatan – köztük MM – megszöktek.</w:t>
      </w:r>
    </w:p>
    <w:p w14:paraId="29901130" w14:textId="77777777" w:rsidR="0001616F" w:rsidRPr="0001616F" w:rsidRDefault="0001616F" w:rsidP="0001616F">
      <w:pPr>
        <w:spacing w:after="0" w:line="240" w:lineRule="auto"/>
        <w:jc w:val="both"/>
        <w:rPr>
          <w:rFonts w:ascii="Times New Roman" w:hAnsi="Times New Roman" w:cs="Times New Roman"/>
          <w:sz w:val="24"/>
          <w:szCs w:val="24"/>
        </w:rPr>
      </w:pPr>
      <w:r w:rsidRPr="0001616F">
        <w:rPr>
          <w:rFonts w:ascii="Times New Roman" w:hAnsi="Times New Roman" w:cs="Times New Roman"/>
          <w:sz w:val="24"/>
          <w:szCs w:val="24"/>
        </w:rPr>
        <w:t>[2] A bolgár nyomozó hatóság a bolgár jogszabályok alapján a 2019. augusztus 8-án kelt határozatával MM ellen a rendőrségi előállítása érdekében körözést adott ki. A határozatot ténylegesen nem hajtották végre.</w:t>
      </w:r>
    </w:p>
    <w:p w14:paraId="328FE05D" w14:textId="346B363B" w:rsidR="0001616F" w:rsidRPr="0001616F" w:rsidRDefault="0001616F" w:rsidP="0001616F">
      <w:pPr>
        <w:spacing w:after="0" w:line="240" w:lineRule="auto"/>
        <w:jc w:val="both"/>
        <w:rPr>
          <w:rFonts w:ascii="Times New Roman" w:hAnsi="Times New Roman" w:cs="Times New Roman"/>
          <w:sz w:val="24"/>
          <w:szCs w:val="24"/>
        </w:rPr>
      </w:pPr>
      <w:r w:rsidRPr="0001616F">
        <w:rPr>
          <w:rFonts w:ascii="Times New Roman" w:hAnsi="Times New Roman" w:cs="Times New Roman"/>
          <w:sz w:val="24"/>
          <w:szCs w:val="24"/>
        </w:rPr>
        <w:t>[3] A bolgár nyomozó hatóság az ügyészség engedélyével a 2019. augusztus 9-én kelt határozatával kábítószer-kereskedelemmel foglalkozó bűnszervezetben való részvétel miatt gyanúsítottá nyilvánította MM-</w:t>
      </w:r>
      <w:proofErr w:type="spellStart"/>
      <w:r w:rsidRPr="0001616F">
        <w:rPr>
          <w:rFonts w:ascii="Times New Roman" w:hAnsi="Times New Roman" w:cs="Times New Roman"/>
          <w:sz w:val="24"/>
          <w:szCs w:val="24"/>
        </w:rPr>
        <w:t>et</w:t>
      </w:r>
      <w:proofErr w:type="spellEnd"/>
      <w:r w:rsidRPr="0001616F">
        <w:rPr>
          <w:rFonts w:ascii="Times New Roman" w:hAnsi="Times New Roman" w:cs="Times New Roman"/>
          <w:sz w:val="24"/>
          <w:szCs w:val="24"/>
        </w:rPr>
        <w:t xml:space="preserve">. A határozatot – szökése miatt – </w:t>
      </w:r>
      <w:proofErr w:type="spellStart"/>
      <w:r w:rsidRPr="0001616F">
        <w:rPr>
          <w:rFonts w:ascii="Times New Roman" w:hAnsi="Times New Roman" w:cs="Times New Roman"/>
          <w:sz w:val="24"/>
          <w:szCs w:val="24"/>
        </w:rPr>
        <w:t>MM-nek</w:t>
      </w:r>
      <w:proofErr w:type="spellEnd"/>
      <w:r w:rsidRPr="0001616F">
        <w:rPr>
          <w:rFonts w:ascii="Times New Roman" w:hAnsi="Times New Roman" w:cs="Times New Roman"/>
          <w:sz w:val="24"/>
          <w:szCs w:val="24"/>
        </w:rPr>
        <w:t xml:space="preserve"> nem, csak a kirendelt védőjének kézbesítették</w:t>
      </w:r>
      <w:r w:rsidR="00D55EE0">
        <w:rPr>
          <w:rFonts w:ascii="Times New Roman" w:hAnsi="Times New Roman" w:cs="Times New Roman"/>
          <w:sz w:val="24"/>
          <w:szCs w:val="24"/>
        </w:rPr>
        <w:t>.</w:t>
      </w:r>
    </w:p>
    <w:p w14:paraId="549F1372" w14:textId="77777777" w:rsidR="0001616F" w:rsidRPr="0001616F" w:rsidRDefault="0001616F" w:rsidP="0001616F">
      <w:pPr>
        <w:spacing w:after="0" w:line="240" w:lineRule="auto"/>
        <w:jc w:val="both"/>
        <w:rPr>
          <w:rFonts w:ascii="Times New Roman" w:hAnsi="Times New Roman" w:cs="Times New Roman"/>
          <w:sz w:val="24"/>
          <w:szCs w:val="24"/>
        </w:rPr>
      </w:pPr>
    </w:p>
    <w:p w14:paraId="75B9D713" w14:textId="77777777" w:rsidR="0001616F" w:rsidRPr="0001616F" w:rsidRDefault="0001616F" w:rsidP="0001616F">
      <w:pPr>
        <w:spacing w:after="0" w:line="240" w:lineRule="auto"/>
        <w:jc w:val="both"/>
        <w:rPr>
          <w:rFonts w:ascii="Times New Roman" w:hAnsi="Times New Roman" w:cs="Times New Roman"/>
          <w:i/>
          <w:sz w:val="24"/>
          <w:szCs w:val="24"/>
        </w:rPr>
      </w:pPr>
      <w:r w:rsidRPr="0001616F">
        <w:rPr>
          <w:rFonts w:ascii="Times New Roman" w:hAnsi="Times New Roman" w:cs="Times New Roman"/>
          <w:i/>
          <w:sz w:val="24"/>
          <w:szCs w:val="24"/>
        </w:rPr>
        <w:t xml:space="preserve">Eljáró bíróság: Európai Unió Bírósága MM ellen folytatott, a </w:t>
      </w:r>
      <w:proofErr w:type="spellStart"/>
      <w:r w:rsidRPr="0001616F">
        <w:rPr>
          <w:rFonts w:ascii="Times New Roman" w:hAnsi="Times New Roman" w:cs="Times New Roman"/>
          <w:i/>
          <w:sz w:val="24"/>
          <w:szCs w:val="24"/>
        </w:rPr>
        <w:t>Spetsializirana</w:t>
      </w:r>
      <w:proofErr w:type="spellEnd"/>
      <w:r w:rsidRPr="0001616F">
        <w:rPr>
          <w:rFonts w:ascii="Times New Roman" w:hAnsi="Times New Roman" w:cs="Times New Roman"/>
          <w:i/>
          <w:sz w:val="24"/>
          <w:szCs w:val="24"/>
        </w:rPr>
        <w:t xml:space="preserve"> </w:t>
      </w:r>
      <w:proofErr w:type="spellStart"/>
      <w:r w:rsidRPr="0001616F">
        <w:rPr>
          <w:rFonts w:ascii="Times New Roman" w:hAnsi="Times New Roman" w:cs="Times New Roman"/>
          <w:i/>
          <w:sz w:val="24"/>
          <w:szCs w:val="24"/>
        </w:rPr>
        <w:t>prokuratura</w:t>
      </w:r>
      <w:proofErr w:type="spellEnd"/>
      <w:r w:rsidRPr="0001616F">
        <w:rPr>
          <w:rFonts w:ascii="Times New Roman" w:hAnsi="Times New Roman" w:cs="Times New Roman"/>
          <w:i/>
          <w:sz w:val="24"/>
          <w:szCs w:val="24"/>
        </w:rPr>
        <w:t xml:space="preserve"> részvételével folyamatban lévő büntetőeljárás ügyében 2021. január 13-án hozott ítélete</w:t>
      </w:r>
    </w:p>
    <w:p w14:paraId="757CEBDC" w14:textId="77777777" w:rsidR="0001616F" w:rsidRPr="0001616F" w:rsidRDefault="0001616F" w:rsidP="0001616F">
      <w:pPr>
        <w:spacing w:after="0" w:line="240" w:lineRule="auto"/>
        <w:jc w:val="both"/>
        <w:rPr>
          <w:rFonts w:ascii="Times New Roman" w:hAnsi="Times New Roman" w:cs="Times New Roman"/>
          <w:sz w:val="24"/>
          <w:szCs w:val="24"/>
        </w:rPr>
      </w:pPr>
    </w:p>
    <w:p w14:paraId="54714FC8" w14:textId="77777777" w:rsidR="0001616F" w:rsidRPr="0001616F" w:rsidRDefault="0001616F" w:rsidP="0001616F">
      <w:pPr>
        <w:spacing w:after="0" w:line="240" w:lineRule="auto"/>
        <w:jc w:val="both"/>
        <w:rPr>
          <w:rFonts w:ascii="Times New Roman" w:hAnsi="Times New Roman" w:cs="Times New Roman"/>
          <w:i/>
          <w:sz w:val="24"/>
          <w:szCs w:val="24"/>
        </w:rPr>
      </w:pPr>
      <w:r w:rsidRPr="0001616F">
        <w:rPr>
          <w:rFonts w:ascii="Times New Roman" w:hAnsi="Times New Roman" w:cs="Times New Roman"/>
          <w:i/>
          <w:sz w:val="24"/>
          <w:szCs w:val="24"/>
        </w:rPr>
        <w:t>Ügyszám: C-414/20. sz. ügy,</w:t>
      </w:r>
      <w:r w:rsidRPr="0001616F">
        <w:rPr>
          <w:rFonts w:ascii="Times New Roman" w:hAnsi="Times New Roman" w:cs="Times New Roman"/>
          <w:sz w:val="24"/>
          <w:szCs w:val="24"/>
        </w:rPr>
        <w:t xml:space="preserve"> </w:t>
      </w:r>
      <w:r w:rsidRPr="0001616F">
        <w:rPr>
          <w:rFonts w:ascii="Times New Roman" w:hAnsi="Times New Roman" w:cs="Times New Roman"/>
          <w:i/>
          <w:sz w:val="24"/>
          <w:szCs w:val="24"/>
        </w:rPr>
        <w:t>ECLI:EU:C:2021:4</w:t>
      </w:r>
    </w:p>
    <w:p w14:paraId="1A0E850C" w14:textId="77777777" w:rsidR="0001616F" w:rsidRPr="0001616F" w:rsidRDefault="0001616F" w:rsidP="0001616F">
      <w:pPr>
        <w:spacing w:after="0" w:line="240" w:lineRule="auto"/>
        <w:jc w:val="both"/>
        <w:rPr>
          <w:rFonts w:ascii="Times New Roman" w:hAnsi="Times New Roman" w:cs="Times New Roman"/>
          <w:sz w:val="24"/>
          <w:szCs w:val="24"/>
        </w:rPr>
      </w:pPr>
    </w:p>
    <w:p w14:paraId="3A12EB96" w14:textId="77777777" w:rsidR="0001616F" w:rsidRPr="0001616F" w:rsidRDefault="0001616F" w:rsidP="0001616F">
      <w:pPr>
        <w:spacing w:after="0" w:line="240" w:lineRule="auto"/>
        <w:jc w:val="both"/>
        <w:rPr>
          <w:rFonts w:ascii="Times New Roman" w:hAnsi="Times New Roman" w:cs="Times New Roman"/>
          <w:i/>
          <w:sz w:val="24"/>
          <w:szCs w:val="24"/>
        </w:rPr>
      </w:pPr>
      <w:r w:rsidRPr="0001616F">
        <w:rPr>
          <w:rFonts w:ascii="Times New Roman" w:hAnsi="Times New Roman" w:cs="Times New Roman"/>
          <w:i/>
          <w:sz w:val="24"/>
          <w:szCs w:val="24"/>
        </w:rPr>
        <w:t xml:space="preserve">Elérhetőség: https://curia.europa.eu/juris/document/document.jsf;jsessionid=3C5350D555D995C989881A83FA9E93A8?text=&amp;docid=236403&amp;pageIndex=0&amp;doclang=HU&amp;mode=lst&amp;dir=&amp;occ=first&amp;part=1&amp;cid=3522001 </w:t>
      </w:r>
    </w:p>
    <w:p w14:paraId="02E4A540" w14:textId="77777777" w:rsidR="0001616F" w:rsidRPr="0001616F" w:rsidRDefault="0001616F" w:rsidP="0001616F">
      <w:pPr>
        <w:spacing w:after="0" w:line="240" w:lineRule="auto"/>
        <w:jc w:val="both"/>
        <w:rPr>
          <w:rFonts w:ascii="Times New Roman" w:hAnsi="Times New Roman" w:cs="Times New Roman"/>
          <w:sz w:val="24"/>
          <w:szCs w:val="24"/>
        </w:rPr>
      </w:pPr>
    </w:p>
    <w:p w14:paraId="18A42DDE" w14:textId="77777777" w:rsidR="0001616F" w:rsidRPr="0001616F" w:rsidRDefault="0001616F" w:rsidP="0001616F">
      <w:pPr>
        <w:spacing w:after="0" w:line="240" w:lineRule="auto"/>
        <w:jc w:val="both"/>
        <w:rPr>
          <w:rFonts w:ascii="Times New Roman" w:hAnsi="Times New Roman" w:cs="Times New Roman"/>
          <w:i/>
          <w:sz w:val="24"/>
          <w:szCs w:val="24"/>
        </w:rPr>
      </w:pPr>
      <w:r w:rsidRPr="0001616F">
        <w:rPr>
          <w:rFonts w:ascii="Times New Roman" w:hAnsi="Times New Roman" w:cs="Times New Roman"/>
          <w:i/>
          <w:sz w:val="24"/>
          <w:szCs w:val="24"/>
        </w:rPr>
        <w:t>(Megjelent: EU Jog Online, 2021/3. sz.)</w:t>
      </w:r>
    </w:p>
    <w:p w14:paraId="6D80582B" w14:textId="77777777" w:rsidR="0001616F" w:rsidRPr="0001616F" w:rsidRDefault="0001616F" w:rsidP="0001616F">
      <w:pPr>
        <w:spacing w:after="0" w:line="240" w:lineRule="auto"/>
        <w:jc w:val="both"/>
        <w:rPr>
          <w:rFonts w:ascii="Times New Roman" w:hAnsi="Times New Roman" w:cs="Times New Roman"/>
          <w:sz w:val="24"/>
          <w:szCs w:val="24"/>
        </w:rPr>
      </w:pPr>
    </w:p>
    <w:p w14:paraId="23D76785" w14:textId="42C1F4F2" w:rsidR="0001616F" w:rsidRPr="0001616F" w:rsidRDefault="0001616F" w:rsidP="0001616F">
      <w:pPr>
        <w:pStyle w:val="Default"/>
        <w:jc w:val="both"/>
      </w:pPr>
      <w:r w:rsidRPr="0001616F">
        <w:rPr>
          <w:i/>
          <w:color w:val="auto"/>
        </w:rPr>
        <w:t xml:space="preserve">Szerkesztette: </w:t>
      </w:r>
      <w:proofErr w:type="spellStart"/>
      <w:r w:rsidRPr="0001616F">
        <w:rPr>
          <w:i/>
          <w:color w:val="auto"/>
        </w:rPr>
        <w:t>Bertaldó</w:t>
      </w:r>
      <w:proofErr w:type="spellEnd"/>
      <w:r w:rsidRPr="0001616F">
        <w:rPr>
          <w:i/>
          <w:color w:val="auto"/>
        </w:rPr>
        <w:t xml:space="preserve"> András</w:t>
      </w:r>
    </w:p>
    <w:p w14:paraId="7AB782DF" w14:textId="596F748F" w:rsidR="0001616F" w:rsidRPr="0001616F" w:rsidRDefault="0001616F" w:rsidP="00335766">
      <w:pPr>
        <w:pStyle w:val="Default"/>
        <w:jc w:val="both"/>
        <w:sectPr w:rsidR="0001616F" w:rsidRPr="0001616F" w:rsidSect="00335766">
          <w:footnotePr>
            <w:numRestart w:val="eachSect"/>
          </w:footnotePr>
          <w:type w:val="continuous"/>
          <w:pgSz w:w="11906" w:h="16838"/>
          <w:pgMar w:top="1417" w:right="1417" w:bottom="1417" w:left="1417" w:header="708" w:footer="708" w:gutter="0"/>
          <w:cols w:space="708"/>
        </w:sectPr>
      </w:pPr>
    </w:p>
    <w:p w14:paraId="0F885893" w14:textId="5710A951" w:rsidR="00335766" w:rsidRDefault="00E75A0A" w:rsidP="00335766">
      <w:pPr>
        <w:pStyle w:val="Default"/>
        <w:jc w:val="both"/>
        <w:rPr>
          <w:i/>
          <w:iCs/>
        </w:rPr>
      </w:pPr>
      <w:r>
        <w:rPr>
          <w:noProof/>
        </w:rPr>
        <w:lastRenderedPageBreak/>
        <mc:AlternateContent>
          <mc:Choice Requires="wps">
            <w:drawing>
              <wp:anchor distT="0" distB="0" distL="114300" distR="114300" simplePos="0" relativeHeight="251673600" behindDoc="0" locked="0" layoutInCell="1" allowOverlap="1" wp14:anchorId="353C6CAE" wp14:editId="6A222A65">
                <wp:simplePos x="0" y="0"/>
                <wp:positionH relativeFrom="column">
                  <wp:posOffset>0</wp:posOffset>
                </wp:positionH>
                <wp:positionV relativeFrom="paragraph">
                  <wp:posOffset>0</wp:posOffset>
                </wp:positionV>
                <wp:extent cx="5816600" cy="0"/>
                <wp:effectExtent l="0" t="0" r="12700" b="12700"/>
                <wp:wrapNone/>
                <wp:docPr id="8" name="Egyenes összekötő 8"/>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FCD72CD" id="Egyenes összekötő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" strokecolor="#4472c4 [3204]" strokeweight=".5pt">
                <v:stroke joinstyle="miter"/>
              </v:line>
            </w:pict>
          </mc:Fallback>
        </mc:AlternateContent>
      </w:r>
    </w:p>
    <w:p w14:paraId="5D74B4C6" w14:textId="3CFC1D4B" w:rsidR="00701997" w:rsidRDefault="00701997" w:rsidP="00E75A0A">
      <w:pPr>
        <w:pStyle w:val="Default"/>
        <w:jc w:val="center"/>
        <w:rPr>
          <w:b/>
          <w:bCs/>
          <w:color w:val="FF0000"/>
        </w:rPr>
      </w:pPr>
      <w:r>
        <w:rPr>
          <w:b/>
          <w:bCs/>
          <w:color w:val="000000" w:themeColor="text1"/>
        </w:rPr>
        <w:t>2</w:t>
      </w:r>
      <w:r w:rsidRPr="00EF3A89">
        <w:rPr>
          <w:b/>
          <w:bCs/>
          <w:color w:val="000000" w:themeColor="text1"/>
        </w:rPr>
        <w:t xml:space="preserve">. </w:t>
      </w:r>
      <w:r>
        <w:rPr>
          <w:b/>
          <w:bCs/>
          <w:color w:val="FF0000"/>
        </w:rPr>
        <w:t>TANULMÁNY:</w:t>
      </w:r>
    </w:p>
    <w:p w14:paraId="2EFC89D5" w14:textId="77777777" w:rsidR="00235CC9" w:rsidRDefault="00235CC9" w:rsidP="00822D28">
      <w:pPr>
        <w:pStyle w:val="Default"/>
        <w:rPr>
          <w:b/>
          <w:bCs/>
        </w:rPr>
      </w:pPr>
    </w:p>
    <w:p w14:paraId="36A5F438" w14:textId="022DD4FB" w:rsidR="00335766" w:rsidRPr="00235CC9" w:rsidRDefault="00701997"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xml:space="preserve">– </w:t>
      </w:r>
      <w:r w:rsidR="00235CC9" w:rsidRPr="00235CC9">
        <w:rPr>
          <w:rFonts w:ascii="Times New Roman" w:eastAsia="Times New Roman" w:hAnsi="Times New Roman" w:cs="Times New Roman"/>
          <w:bCs/>
          <w:sz w:val="24"/>
          <w:szCs w:val="24"/>
        </w:rPr>
        <w:t>lehetnek alcímek</w:t>
      </w:r>
    </w:p>
    <w:p w14:paraId="33504573" w14:textId="240C2464" w:rsidR="00235CC9" w:rsidRPr="00235CC9" w:rsidRDefault="00235CC9"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 alatt a bekezdésszámozás folyamatos</w:t>
      </w:r>
    </w:p>
    <w:p w14:paraId="00DCE946" w14:textId="24DA53BA" w:rsidR="00235CC9" w:rsidRPr="00235CC9" w:rsidRDefault="00235CC9"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alcímekhez többszintű decimális számozást is lehet használni</w:t>
      </w:r>
    </w:p>
    <w:p w14:paraId="73A8E9C3" w14:textId="40F7F1B3" w:rsidR="00235CC9" w:rsidRPr="007E2015" w:rsidRDefault="00235CC9"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w:t>
      </w:r>
      <w:r w:rsidR="00FD6B54">
        <w:rPr>
          <w:rFonts w:ascii="Times New Roman" w:eastAsia="Times New Roman" w:hAnsi="Times New Roman" w:cs="Times New Roman"/>
          <w:bCs/>
          <w:sz w:val="24"/>
          <w:szCs w:val="24"/>
        </w:rPr>
        <w:t xml:space="preserve"> </w:t>
      </w:r>
      <w:r w:rsidRPr="00235CC9">
        <w:rPr>
          <w:rFonts w:ascii="Times New Roman" w:eastAsia="Times New Roman" w:hAnsi="Times New Roman" w:cs="Times New Roman"/>
          <w:bCs/>
          <w:sz w:val="24"/>
          <w:szCs w:val="24"/>
        </w:rPr>
        <w:t>vannak lábjegyzetek – ezeknek a formátuma kötött, a mintában szereplő módon kell megjelenniük</w:t>
      </w:r>
      <w:r w:rsidR="00026AEE">
        <w:rPr>
          <w:rFonts w:ascii="Times New Roman" w:eastAsia="Times New Roman" w:hAnsi="Times New Roman" w:cs="Times New Roman"/>
          <w:bCs/>
          <w:sz w:val="24"/>
          <w:szCs w:val="24"/>
        </w:rPr>
        <w:t xml:space="preserve"> mind a döntvényeknek, mind a szakirodalmi hivatkozásoknak</w:t>
      </w:r>
    </w:p>
    <w:p w14:paraId="0B3D4242" w14:textId="482391C0" w:rsidR="00DC245F" w:rsidRDefault="00DC245F" w:rsidP="00701997">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14:anchorId="179B604C" wp14:editId="47C6DFB4">
                <wp:simplePos x="0" y="0"/>
                <wp:positionH relativeFrom="column">
                  <wp:posOffset>0</wp:posOffset>
                </wp:positionH>
                <wp:positionV relativeFrom="paragraph">
                  <wp:posOffset>67098</wp:posOffset>
                </wp:positionV>
                <wp:extent cx="5816600" cy="0"/>
                <wp:effectExtent l="0" t="0" r="12700" b="12700"/>
                <wp:wrapNone/>
                <wp:docPr id="4" name="Egyenes összekötő 4"/>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7719C69" id="Egyenes összekötő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3pt" to="4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" strokecolor="#4472c4 [3204]" strokeweight=".5pt">
                <v:stroke joinstyle="miter"/>
              </v:line>
            </w:pict>
          </mc:Fallback>
        </mc:AlternateContent>
      </w:r>
    </w:p>
    <w:p w14:paraId="1CA7E5B6" w14:textId="77777777" w:rsidR="00235CC9" w:rsidRPr="00650993" w:rsidRDefault="00235CC9" w:rsidP="00235CC9">
      <w:pPr>
        <w:spacing w:after="0" w:line="240" w:lineRule="auto"/>
        <w:jc w:val="center"/>
        <w:rPr>
          <w:rFonts w:ascii="Times New Roman" w:eastAsia="Times New Roman" w:hAnsi="Times New Roman" w:cs="Times New Roman"/>
          <w:b/>
          <w:sz w:val="24"/>
          <w:szCs w:val="24"/>
        </w:rPr>
      </w:pPr>
      <w:r w:rsidRPr="00650993">
        <w:rPr>
          <w:rFonts w:ascii="Times New Roman" w:eastAsia="Times New Roman" w:hAnsi="Times New Roman" w:cs="Times New Roman"/>
          <w:b/>
          <w:sz w:val="24"/>
          <w:szCs w:val="24"/>
        </w:rPr>
        <w:t>EU Jog Online 2021/1</w:t>
      </w:r>
      <w:r>
        <w:rPr>
          <w:rFonts w:ascii="Times New Roman" w:eastAsia="Times New Roman" w:hAnsi="Times New Roman" w:cs="Times New Roman"/>
          <w:b/>
          <w:sz w:val="24"/>
          <w:szCs w:val="24"/>
        </w:rPr>
        <w:t>–</w:t>
      </w:r>
      <w:r w:rsidRPr="00650993">
        <w:rPr>
          <w:rFonts w:ascii="Times New Roman" w:eastAsia="Times New Roman" w:hAnsi="Times New Roman" w:cs="Times New Roman"/>
          <w:b/>
          <w:sz w:val="24"/>
          <w:szCs w:val="24"/>
        </w:rPr>
        <w:t>2. – Tanulmány</w:t>
      </w:r>
    </w:p>
    <w:p w14:paraId="70242665" w14:textId="77777777" w:rsidR="00235CC9" w:rsidRPr="00650993" w:rsidRDefault="00235CC9" w:rsidP="00235CC9">
      <w:pPr>
        <w:spacing w:after="0" w:line="240" w:lineRule="auto"/>
        <w:jc w:val="center"/>
        <w:rPr>
          <w:rFonts w:ascii="Times New Roman" w:eastAsia="Times New Roman" w:hAnsi="Times New Roman" w:cs="Times New Roman"/>
          <w:b/>
          <w:sz w:val="24"/>
          <w:szCs w:val="24"/>
        </w:rPr>
      </w:pPr>
    </w:p>
    <w:p w14:paraId="35E1E222" w14:textId="77777777" w:rsidR="00235CC9" w:rsidRPr="00650993" w:rsidRDefault="00235CC9" w:rsidP="00235CC9">
      <w:pPr>
        <w:spacing w:after="0" w:line="240" w:lineRule="auto"/>
        <w:jc w:val="center"/>
        <w:rPr>
          <w:rFonts w:ascii="Times New Roman" w:eastAsia="Times New Roman" w:hAnsi="Times New Roman" w:cs="Times New Roman"/>
          <w:b/>
          <w:sz w:val="24"/>
          <w:szCs w:val="24"/>
        </w:rPr>
      </w:pPr>
      <w:r w:rsidRPr="00650993">
        <w:rPr>
          <w:rFonts w:ascii="Times New Roman" w:eastAsia="Times New Roman" w:hAnsi="Times New Roman" w:cs="Times New Roman"/>
          <w:b/>
          <w:sz w:val="24"/>
          <w:szCs w:val="24"/>
        </w:rPr>
        <w:t>Orbán Endre:</w:t>
      </w:r>
      <w:r w:rsidRPr="00650993">
        <w:rPr>
          <w:rStyle w:val="Lbjegyzet-hivatkozs"/>
          <w:rFonts w:ascii="Times New Roman" w:eastAsia="Times New Roman" w:hAnsi="Times New Roman" w:cs="Times New Roman"/>
          <w:b/>
          <w:sz w:val="24"/>
          <w:szCs w:val="24"/>
        </w:rPr>
        <w:footnoteReference w:id="1"/>
      </w:r>
      <w:r w:rsidRPr="00650993">
        <w:rPr>
          <w:rFonts w:ascii="Times New Roman" w:eastAsia="Times New Roman" w:hAnsi="Times New Roman" w:cs="Times New Roman"/>
          <w:b/>
          <w:sz w:val="24"/>
          <w:szCs w:val="24"/>
        </w:rPr>
        <w:t xml:space="preserve"> A bírói függetlenség értelmezése körüli legújabb dilemmák az Alkotmánybíróság és az Európai Unió Bírósága gyakorlatában</w:t>
      </w:r>
    </w:p>
    <w:p w14:paraId="35AD0C7E" w14:textId="77777777" w:rsidR="00235CC9" w:rsidRPr="00650993" w:rsidRDefault="00235CC9" w:rsidP="00235CC9">
      <w:pPr>
        <w:spacing w:after="0" w:line="240" w:lineRule="auto"/>
        <w:jc w:val="center"/>
        <w:rPr>
          <w:rFonts w:ascii="Times New Roman" w:eastAsia="Times New Roman" w:hAnsi="Times New Roman" w:cs="Times New Roman"/>
          <w:b/>
          <w:sz w:val="24"/>
          <w:szCs w:val="24"/>
          <w:highlight w:val="yellow"/>
        </w:rPr>
      </w:pPr>
    </w:p>
    <w:p w14:paraId="4AC504F4" w14:textId="77777777" w:rsidR="00235CC9" w:rsidRPr="00650993" w:rsidRDefault="00235CC9" w:rsidP="00235CC9">
      <w:pPr>
        <w:spacing w:after="0" w:line="240" w:lineRule="auto"/>
        <w:jc w:val="both"/>
        <w:rPr>
          <w:rFonts w:ascii="Times New Roman" w:hAnsi="Times New Roman" w:cs="Times New Roman"/>
          <w:i/>
          <w:sz w:val="24"/>
          <w:szCs w:val="24"/>
        </w:rPr>
      </w:pPr>
      <w:r w:rsidRPr="00650993">
        <w:rPr>
          <w:rFonts w:ascii="Times New Roman" w:hAnsi="Times New Roman" w:cs="Times New Roman"/>
          <w:i/>
          <w:sz w:val="24"/>
          <w:szCs w:val="24"/>
        </w:rPr>
        <w:t>A joghoz való hozzáférés, illetve a törvényes bíróhoz való alapjog tényleges és hatékony megvalósulása alapvető követelmény a jogállami alapokon szervezett alkotmányos demokrácia fenntarthatósága körében. E területen ugyanakkor az Európai Unió jogrendszere egyre több kihívással szembesül, így az utóbbi években több, a fundamentumokat érintő jelentős ügy is az Európai Unió Bírósága elé került. Mindezek közül kiemelkednek a lengyel igazságszolgáltatási rendszer átalakítása nyomán a</w:t>
      </w:r>
      <w:r>
        <w:rPr>
          <w:rFonts w:ascii="Times New Roman" w:hAnsi="Times New Roman" w:cs="Times New Roman"/>
          <w:i/>
          <w:sz w:val="24"/>
          <w:szCs w:val="24"/>
        </w:rPr>
        <w:t xml:space="preserve"> </w:t>
      </w:r>
      <w:r w:rsidRPr="00650993">
        <w:rPr>
          <w:rFonts w:ascii="Times New Roman" w:hAnsi="Times New Roman" w:cs="Times New Roman"/>
          <w:i/>
          <w:sz w:val="24"/>
          <w:szCs w:val="24"/>
        </w:rPr>
        <w:t>B</w:t>
      </w:r>
      <w:r>
        <w:rPr>
          <w:rFonts w:ascii="Times New Roman" w:hAnsi="Times New Roman" w:cs="Times New Roman"/>
          <w:i/>
          <w:sz w:val="24"/>
          <w:szCs w:val="24"/>
        </w:rPr>
        <w:t>íróság</w:t>
      </w:r>
      <w:r w:rsidRPr="00650993">
        <w:rPr>
          <w:rFonts w:ascii="Times New Roman" w:hAnsi="Times New Roman" w:cs="Times New Roman"/>
          <w:i/>
          <w:sz w:val="24"/>
          <w:szCs w:val="24"/>
        </w:rPr>
        <w:t xml:space="preserve"> elé kerülő kérdések, de találunk portugál, máltai, romániai és hazai vonatkozású eseteket is. A tanulmány célja kettős: egyrészt megvizsgálja a bírói függetlenség körében született legújabb hazai alkotmánybírósági döntéseket</w:t>
      </w:r>
      <w:r>
        <w:rPr>
          <w:rFonts w:ascii="Times New Roman" w:hAnsi="Times New Roman" w:cs="Times New Roman"/>
          <w:i/>
          <w:sz w:val="24"/>
          <w:szCs w:val="24"/>
        </w:rPr>
        <w:t>,</w:t>
      </w:r>
      <w:r w:rsidRPr="00650993">
        <w:rPr>
          <w:rFonts w:ascii="Times New Roman" w:hAnsi="Times New Roman" w:cs="Times New Roman"/>
          <w:i/>
          <w:sz w:val="24"/>
          <w:szCs w:val="24"/>
        </w:rPr>
        <w:t xml:space="preserve"> különös tekintettel az uniós vonatkozású ügyekre, majd az Európai Unió Bírósága előtti ügyeket tárgyalja.</w:t>
      </w:r>
    </w:p>
    <w:p w14:paraId="035BF3EA" w14:textId="77777777" w:rsidR="00235CC9" w:rsidRPr="00650993" w:rsidRDefault="00235CC9" w:rsidP="00235CC9">
      <w:pPr>
        <w:spacing w:after="0" w:line="240" w:lineRule="auto"/>
        <w:rPr>
          <w:rFonts w:ascii="Times New Roman" w:eastAsia="Times New Roman" w:hAnsi="Times New Roman" w:cs="Times New Roman"/>
          <w:i/>
          <w:sz w:val="24"/>
          <w:szCs w:val="24"/>
        </w:rPr>
      </w:pPr>
    </w:p>
    <w:p w14:paraId="79A9015D" w14:textId="77777777" w:rsidR="00235CC9" w:rsidRPr="00650993" w:rsidRDefault="00235CC9" w:rsidP="00235CC9">
      <w:pPr>
        <w:spacing w:after="0" w:line="240" w:lineRule="auto"/>
        <w:rPr>
          <w:rFonts w:ascii="Times New Roman" w:eastAsia="Times New Roman" w:hAnsi="Times New Roman" w:cs="Times New Roman"/>
          <w:i/>
          <w:sz w:val="24"/>
          <w:szCs w:val="24"/>
        </w:rPr>
      </w:pPr>
      <w:r w:rsidRPr="00650993">
        <w:rPr>
          <w:rFonts w:ascii="Times New Roman" w:eastAsia="Times New Roman" w:hAnsi="Times New Roman" w:cs="Times New Roman"/>
          <w:i/>
          <w:sz w:val="24"/>
          <w:szCs w:val="24"/>
        </w:rPr>
        <w:t>Hivatkozott jogszabályhelyek: Alaptörvény XXVIII. cikk (1), Alaptörvény 26. cikk (1), EUSZ 2. cikk, EUSZ 19. cikk, EUSZ 49. cikk, Alapjogi Charta 47. cikk.</w:t>
      </w:r>
    </w:p>
    <w:p w14:paraId="63A6572D" w14:textId="77777777" w:rsidR="00235CC9" w:rsidRPr="00650993" w:rsidRDefault="00235CC9" w:rsidP="00235CC9">
      <w:pPr>
        <w:spacing w:after="0" w:line="240" w:lineRule="auto"/>
        <w:jc w:val="center"/>
        <w:rPr>
          <w:rFonts w:ascii="Times New Roman" w:eastAsia="Times New Roman" w:hAnsi="Times New Roman" w:cs="Times New Roman"/>
          <w:b/>
          <w:sz w:val="24"/>
          <w:szCs w:val="24"/>
          <w:highlight w:val="yellow"/>
        </w:rPr>
      </w:pPr>
    </w:p>
    <w:p w14:paraId="7F6B4611" w14:textId="77777777" w:rsidR="00235CC9" w:rsidRPr="00650993" w:rsidRDefault="00235CC9" w:rsidP="00235CC9">
      <w:pPr>
        <w:spacing w:after="0" w:line="240" w:lineRule="auto"/>
        <w:rPr>
          <w:rFonts w:ascii="Times New Roman" w:eastAsia="Times New Roman" w:hAnsi="Times New Roman" w:cs="Times New Roman"/>
          <w:i/>
          <w:sz w:val="24"/>
          <w:szCs w:val="24"/>
        </w:rPr>
      </w:pPr>
      <w:r w:rsidRPr="00650993">
        <w:rPr>
          <w:rFonts w:ascii="Times New Roman" w:eastAsia="Times New Roman" w:hAnsi="Times New Roman" w:cs="Times New Roman"/>
          <w:i/>
          <w:sz w:val="24"/>
          <w:szCs w:val="24"/>
        </w:rPr>
        <w:t>Címkék: bírói függetlenség, jogállamiság, lengyel igazságszolgáltatás, fegyelmi tanács, bírói nyugdíjkorhatár, elsőbbség elve, előzetes döntéshozatali eljárás, európai alkotmányos tér</w:t>
      </w:r>
    </w:p>
    <w:p w14:paraId="53141545" w14:textId="77777777" w:rsidR="00235CC9" w:rsidRPr="00650993" w:rsidRDefault="00235CC9" w:rsidP="00235CC9">
      <w:pPr>
        <w:spacing w:after="0" w:line="240" w:lineRule="auto"/>
        <w:jc w:val="both"/>
        <w:rPr>
          <w:rFonts w:ascii="Times New Roman" w:hAnsi="Times New Roman" w:cs="Times New Roman"/>
          <w:sz w:val="24"/>
          <w:szCs w:val="24"/>
        </w:rPr>
      </w:pPr>
    </w:p>
    <w:p w14:paraId="06471B6E" w14:textId="77777777" w:rsidR="00235CC9" w:rsidRPr="00BD3590" w:rsidRDefault="00235CC9" w:rsidP="00235CC9">
      <w:pPr>
        <w:spacing w:after="0" w:line="240" w:lineRule="auto"/>
        <w:jc w:val="center"/>
        <w:rPr>
          <w:rFonts w:ascii="Times New Roman" w:hAnsi="Times New Roman" w:cs="Times New Roman"/>
          <w:b/>
          <w:i/>
          <w:iCs/>
          <w:sz w:val="24"/>
          <w:szCs w:val="24"/>
        </w:rPr>
      </w:pPr>
      <w:r w:rsidRPr="00BD3590">
        <w:rPr>
          <w:rFonts w:ascii="Times New Roman" w:hAnsi="Times New Roman" w:cs="Times New Roman"/>
          <w:b/>
          <w:i/>
          <w:iCs/>
          <w:sz w:val="24"/>
          <w:szCs w:val="24"/>
        </w:rPr>
        <w:t>4. Bírói függetlenség az Európai Unió Bírósága legújabb gyakorlatában</w:t>
      </w:r>
    </w:p>
    <w:p w14:paraId="70F4106B" w14:textId="77777777" w:rsidR="00235CC9" w:rsidRPr="00650993" w:rsidRDefault="00235CC9" w:rsidP="00235CC9">
      <w:pPr>
        <w:spacing w:after="0" w:line="240" w:lineRule="auto"/>
        <w:jc w:val="both"/>
        <w:rPr>
          <w:rFonts w:ascii="Times New Roman" w:hAnsi="Times New Roman" w:cs="Times New Roman"/>
          <w:sz w:val="24"/>
          <w:szCs w:val="24"/>
        </w:rPr>
      </w:pPr>
      <w:r w:rsidRPr="009635A6">
        <w:rPr>
          <w:rFonts w:ascii="Times New Roman" w:hAnsi="Times New Roman" w:cs="Times New Roman"/>
          <w:sz w:val="24"/>
          <w:szCs w:val="24"/>
        </w:rPr>
        <w:t>[1</w:t>
      </w:r>
      <w:r>
        <w:rPr>
          <w:rFonts w:ascii="Times New Roman" w:hAnsi="Times New Roman" w:cs="Times New Roman"/>
          <w:sz w:val="24"/>
          <w:szCs w:val="24"/>
        </w:rPr>
        <w:t>5</w:t>
      </w:r>
      <w:r w:rsidRPr="009635A6">
        <w:rPr>
          <w:rFonts w:ascii="Times New Roman" w:hAnsi="Times New Roman" w:cs="Times New Roman"/>
          <w:sz w:val="24"/>
          <w:szCs w:val="24"/>
        </w:rPr>
        <w:t xml:space="preserve">] </w:t>
      </w:r>
      <w:r w:rsidRPr="00650993">
        <w:rPr>
          <w:rFonts w:ascii="Times New Roman" w:hAnsi="Times New Roman" w:cs="Times New Roman"/>
          <w:sz w:val="24"/>
          <w:szCs w:val="24"/>
        </w:rPr>
        <w:t xml:space="preserve">A bírói függetlenség elve, amint az a fenti magyar példán keresztül is látható, valójában a tagállamok közös alkotmányos hagyományaiban gyökerezik. A független ítélkezés a jogállam működésének </w:t>
      </w:r>
      <w:r w:rsidRPr="00650993">
        <w:rPr>
          <w:rFonts w:ascii="Times New Roman" w:hAnsi="Times New Roman" w:cs="Times New Roman"/>
          <w:i/>
          <w:sz w:val="24"/>
          <w:szCs w:val="24"/>
        </w:rPr>
        <w:t xml:space="preserve">sine qua </w:t>
      </w:r>
      <w:proofErr w:type="spellStart"/>
      <w:r w:rsidRPr="00650993">
        <w:rPr>
          <w:rFonts w:ascii="Times New Roman" w:hAnsi="Times New Roman" w:cs="Times New Roman"/>
          <w:i/>
          <w:sz w:val="24"/>
          <w:szCs w:val="24"/>
        </w:rPr>
        <w:t>non</w:t>
      </w:r>
      <w:r w:rsidRPr="00650993">
        <w:rPr>
          <w:rFonts w:ascii="Times New Roman" w:hAnsi="Times New Roman" w:cs="Times New Roman"/>
          <w:sz w:val="24"/>
          <w:szCs w:val="24"/>
        </w:rPr>
        <w:t>ja</w:t>
      </w:r>
      <w:proofErr w:type="spellEnd"/>
      <w:r w:rsidRPr="00650993">
        <w:rPr>
          <w:rFonts w:ascii="Times New Roman" w:hAnsi="Times New Roman" w:cs="Times New Roman"/>
          <w:sz w:val="24"/>
          <w:szCs w:val="24"/>
        </w:rPr>
        <w:t xml:space="preserve"> és egyben a polgárok jogállamba vetett bizalmának előfeltétele. Amennyiben ez megkérdőjeleződik, a függetlenség percepciója elvész, az abba vetett bizalom megrendül, úgy az egész alkotmányos intézményrendszer kerül veszélybe. </w:t>
      </w:r>
    </w:p>
    <w:p w14:paraId="5E26C152"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[1</w:t>
      </w:r>
      <w:r>
        <w:rPr>
          <w:rFonts w:ascii="Times New Roman" w:hAnsi="Times New Roman" w:cs="Times New Roman"/>
          <w:sz w:val="24"/>
          <w:szCs w:val="24"/>
        </w:rPr>
        <w:t>6</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Mindez elementáris erővel vetődik fel nem csupán a tagállam</w:t>
      </w:r>
      <w:r>
        <w:rPr>
          <w:rFonts w:ascii="Times New Roman" w:hAnsi="Times New Roman" w:cs="Times New Roman"/>
          <w:sz w:val="24"/>
          <w:szCs w:val="24"/>
        </w:rPr>
        <w:t>i</w:t>
      </w:r>
      <w:r w:rsidRPr="00650993">
        <w:rPr>
          <w:rFonts w:ascii="Times New Roman" w:hAnsi="Times New Roman" w:cs="Times New Roman"/>
          <w:sz w:val="24"/>
          <w:szCs w:val="24"/>
        </w:rPr>
        <w:t>, hanem összeurópai szinten is. Az Európai Unió maga ugyanis jogrendszer,</w:t>
      </w:r>
      <w:r w:rsidRPr="00650993">
        <w:rPr>
          <w:rStyle w:val="Lbjegyzet-hivatkozs"/>
          <w:rFonts w:ascii="Times New Roman" w:hAnsi="Times New Roman" w:cs="Times New Roman"/>
          <w:sz w:val="24"/>
          <w:szCs w:val="24"/>
        </w:rPr>
        <w:footnoteReference w:id="2"/>
      </w:r>
      <w:r w:rsidRPr="00650993">
        <w:rPr>
          <w:rFonts w:ascii="Times New Roman" w:hAnsi="Times New Roman" w:cs="Times New Roman"/>
          <w:sz w:val="24"/>
          <w:szCs w:val="24"/>
        </w:rPr>
        <w:t xml:space="preserve"> amelyet bíróságok hálózata kényszerít ki, amelynek csúcspontjában a luxemburgi székhelyű testület áll. Az EUB mellett az egyes tagállami bíróságok azok, amelyek az uniós jog végrehajtása során uniós bíróságként működnek. Ahogy azt az EUSZ 19. cikke megfogalmazza</w:t>
      </w:r>
      <w:r>
        <w:rPr>
          <w:rFonts w:ascii="Times New Roman" w:hAnsi="Times New Roman" w:cs="Times New Roman"/>
          <w:sz w:val="24"/>
          <w:szCs w:val="24"/>
        </w:rPr>
        <w:t>,</w:t>
      </w:r>
      <w:r w:rsidRPr="00650993">
        <w:rPr>
          <w:rFonts w:ascii="Times New Roman" w:hAnsi="Times New Roman" w:cs="Times New Roman"/>
          <w:sz w:val="24"/>
          <w:szCs w:val="24"/>
        </w:rPr>
        <w:t xml:space="preserve"> „a tagállamok megteremtik azokat a jogorvoslati lehetőségeket, amelyek az uniós jog által szabályozott területeken a hatékony </w:t>
      </w:r>
      <w:r w:rsidRPr="00650993">
        <w:rPr>
          <w:rFonts w:ascii="Times New Roman" w:hAnsi="Times New Roman" w:cs="Times New Roman"/>
          <w:sz w:val="24"/>
          <w:szCs w:val="24"/>
        </w:rPr>
        <w:lastRenderedPageBreak/>
        <w:t>jogvédelem biztosításához szükségesek”</w:t>
      </w:r>
      <w:r>
        <w:rPr>
          <w:rFonts w:ascii="Times New Roman" w:hAnsi="Times New Roman" w:cs="Times New Roman"/>
          <w:sz w:val="24"/>
          <w:szCs w:val="24"/>
        </w:rPr>
        <w:t>.</w:t>
      </w:r>
      <w:r w:rsidRPr="00650993">
        <w:rPr>
          <w:rFonts w:ascii="Times New Roman" w:hAnsi="Times New Roman" w:cs="Times New Roman"/>
          <w:sz w:val="24"/>
          <w:szCs w:val="24"/>
        </w:rPr>
        <w:t xml:space="preserve"> Amennyiben tehát a nemzeti bíróságok függetlensége sérül, az egyben azt is jelenti, hogy másik szerepükben, mint uniós bíróságoknak a függetlensége is sérül, és egyben elveszítik azt a képességüket, hogy az EUSZ 2. cikkében foglalt értékek közül a jogállamiság fenntartásában elfoglalt szerepüket betöltsék. Mindezt pedig az Alapjogi Charta 47. cikke alapjogi oldalról is megfogalmazza, amikor rögzíti a hatékony bírósági jogorvoslathoz való jogot minden olyan jogalany számára, aki egy adott ügyben az uniós jog alapján őt megillető jogra hivatkozik.</w:t>
      </w:r>
    </w:p>
    <w:p w14:paraId="0FD348B9"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[1</w:t>
      </w:r>
      <w:r>
        <w:rPr>
          <w:rFonts w:ascii="Times New Roman" w:hAnsi="Times New Roman" w:cs="Times New Roman"/>
          <w:sz w:val="24"/>
          <w:szCs w:val="24"/>
        </w:rPr>
        <w:t>7</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Mindazonáltal nemcsak vertikális irányban van jelentősége a tagállami bíróságok függetlenségének, hanem horizontálisan is. A belső piac keretében kidolgozott kölcsö</w:t>
      </w:r>
      <w:r>
        <w:rPr>
          <w:rFonts w:ascii="Times New Roman" w:hAnsi="Times New Roman" w:cs="Times New Roman"/>
          <w:sz w:val="24"/>
          <w:szCs w:val="24"/>
        </w:rPr>
        <w:t>n</w:t>
      </w:r>
      <w:r w:rsidRPr="00650993">
        <w:rPr>
          <w:rFonts w:ascii="Times New Roman" w:hAnsi="Times New Roman" w:cs="Times New Roman"/>
          <w:sz w:val="24"/>
          <w:szCs w:val="24"/>
        </w:rPr>
        <w:t>ös elismerés elve,</w:t>
      </w:r>
      <w:r w:rsidRPr="00650993">
        <w:rPr>
          <w:rStyle w:val="Lbjegyzet-hivatkozs"/>
          <w:rFonts w:ascii="Times New Roman" w:hAnsi="Times New Roman" w:cs="Times New Roman"/>
          <w:sz w:val="24"/>
          <w:szCs w:val="24"/>
        </w:rPr>
        <w:footnoteReference w:id="3"/>
      </w:r>
      <w:r w:rsidRPr="00650993">
        <w:rPr>
          <w:rFonts w:ascii="Times New Roman" w:hAnsi="Times New Roman" w:cs="Times New Roman"/>
          <w:sz w:val="24"/>
          <w:szCs w:val="24"/>
        </w:rPr>
        <w:t xml:space="preserve"> amit aztán a szabadság, jog és biztonság térségében is sikerrel alkalmaztak, a kölcsönös bizalmat teszi az európai uniós működés motorjává.</w:t>
      </w:r>
      <w:r w:rsidRPr="00650993">
        <w:rPr>
          <w:rStyle w:val="Lbjegyzet-hivatkozs"/>
          <w:rFonts w:ascii="Times New Roman" w:hAnsi="Times New Roman" w:cs="Times New Roman"/>
          <w:sz w:val="24"/>
          <w:szCs w:val="24"/>
        </w:rPr>
        <w:footnoteReference w:id="4"/>
      </w:r>
      <w:r w:rsidRPr="00650993">
        <w:rPr>
          <w:rFonts w:ascii="Times New Roman" w:hAnsi="Times New Roman" w:cs="Times New Roman"/>
          <w:sz w:val="24"/>
          <w:szCs w:val="24"/>
        </w:rPr>
        <w:t xml:space="preserve"> Ha e kölcsönös bizalom elvész, úgy ez egész uniós jogrendszer működésképtelenné válik. Ez történik például abban az esetben, ha a függetlenség perce</w:t>
      </w:r>
      <w:r>
        <w:rPr>
          <w:rFonts w:ascii="Times New Roman" w:hAnsi="Times New Roman" w:cs="Times New Roman"/>
          <w:sz w:val="24"/>
          <w:szCs w:val="24"/>
        </w:rPr>
        <w:t>p</w:t>
      </w:r>
      <w:r w:rsidRPr="00650993">
        <w:rPr>
          <w:rFonts w:ascii="Times New Roman" w:hAnsi="Times New Roman" w:cs="Times New Roman"/>
          <w:sz w:val="24"/>
          <w:szCs w:val="24"/>
        </w:rPr>
        <w:t>ciójának elvesztése miatt egyes tagállamok bíróságai megkérdőjelezik a partner tagállamban meghozott bírósági döntések megalapozottságát.</w:t>
      </w:r>
      <w:r w:rsidRPr="00650993">
        <w:rPr>
          <w:rStyle w:val="Lbjegyzet-hivatkozs"/>
          <w:rFonts w:ascii="Times New Roman" w:hAnsi="Times New Roman" w:cs="Times New Roman"/>
          <w:sz w:val="24"/>
          <w:szCs w:val="24"/>
        </w:rPr>
        <w:footnoteReference w:id="5"/>
      </w:r>
      <w:r w:rsidRPr="00650993">
        <w:rPr>
          <w:rFonts w:ascii="Times New Roman" w:hAnsi="Times New Roman" w:cs="Times New Roman"/>
          <w:sz w:val="24"/>
          <w:szCs w:val="24"/>
        </w:rPr>
        <w:t xml:space="preserve"> </w:t>
      </w:r>
    </w:p>
    <w:p w14:paraId="3799A432"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[1</w:t>
      </w:r>
      <w:r>
        <w:rPr>
          <w:rFonts w:ascii="Times New Roman" w:hAnsi="Times New Roman" w:cs="Times New Roman"/>
          <w:sz w:val="24"/>
          <w:szCs w:val="24"/>
        </w:rPr>
        <w:t>8</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Minthogy azonban a bíróságok függetlensége és a jogállamiság tiszteletben tartása egyben csatlakozási kritériumok is,</w:t>
      </w:r>
      <w:r w:rsidRPr="00650993">
        <w:rPr>
          <w:rStyle w:val="Lbjegyzet-hivatkozs"/>
          <w:rFonts w:ascii="Times New Roman" w:hAnsi="Times New Roman" w:cs="Times New Roman"/>
          <w:sz w:val="24"/>
          <w:szCs w:val="24"/>
        </w:rPr>
        <w:footnoteReference w:id="6"/>
      </w:r>
      <w:r w:rsidRPr="00650993">
        <w:rPr>
          <w:rFonts w:ascii="Times New Roman" w:hAnsi="Times New Roman" w:cs="Times New Roman"/>
          <w:sz w:val="24"/>
          <w:szCs w:val="24"/>
        </w:rPr>
        <w:t xml:space="preserve"> az államok pedig önszántukból válnak az Európai Unió tagállamaivá</w:t>
      </w:r>
      <w:r>
        <w:rPr>
          <w:rFonts w:ascii="Times New Roman" w:hAnsi="Times New Roman" w:cs="Times New Roman"/>
          <w:sz w:val="24"/>
          <w:szCs w:val="24"/>
        </w:rPr>
        <w:t>,</w:t>
      </w:r>
      <w:r w:rsidRPr="00650993">
        <w:rPr>
          <w:rFonts w:ascii="Times New Roman" w:hAnsi="Times New Roman" w:cs="Times New Roman"/>
          <w:sz w:val="24"/>
          <w:szCs w:val="24"/>
        </w:rPr>
        <w:t xml:space="preserve"> válla</w:t>
      </w:r>
      <w:r>
        <w:rPr>
          <w:rFonts w:ascii="Times New Roman" w:hAnsi="Times New Roman" w:cs="Times New Roman"/>
          <w:sz w:val="24"/>
          <w:szCs w:val="24"/>
        </w:rPr>
        <w:t>l</w:t>
      </w:r>
      <w:r w:rsidRPr="00650993">
        <w:rPr>
          <w:rFonts w:ascii="Times New Roman" w:hAnsi="Times New Roman" w:cs="Times New Roman"/>
          <w:sz w:val="24"/>
          <w:szCs w:val="24"/>
        </w:rPr>
        <w:t>va azt, hogy a jövőre nézve elkötelezik magukat az uniós értékek mellett, ezért az Európai Unióban eleve vélelem áll amellett, hogy a tagállamok biztosítják a bíróságok függetlenségét.</w:t>
      </w:r>
      <w:r w:rsidRPr="00650993">
        <w:rPr>
          <w:rStyle w:val="Lbjegyzet-hivatkozs"/>
          <w:rFonts w:ascii="Times New Roman" w:hAnsi="Times New Roman" w:cs="Times New Roman"/>
          <w:sz w:val="24"/>
          <w:szCs w:val="24"/>
        </w:rPr>
        <w:footnoteReference w:id="7"/>
      </w:r>
      <w:r w:rsidRPr="00650993">
        <w:rPr>
          <w:rFonts w:ascii="Times New Roman" w:hAnsi="Times New Roman" w:cs="Times New Roman"/>
          <w:sz w:val="24"/>
          <w:szCs w:val="24"/>
        </w:rPr>
        <w:t xml:space="preserve"> Az utóbbi időben ugyanakkor a lengyel igazságszolgáltatási reform miatt egyre több olyan eset került az Európai Unió Bírósága elé, amelyben e fundamentumok megkérdőjeleződtek. </w:t>
      </w:r>
    </w:p>
    <w:p w14:paraId="1C3CD47A" w14:textId="77777777" w:rsidR="00235CC9" w:rsidRPr="00650993" w:rsidRDefault="00235CC9" w:rsidP="00235CC9">
      <w:pPr>
        <w:spacing w:after="0" w:line="240" w:lineRule="auto"/>
        <w:jc w:val="both"/>
        <w:rPr>
          <w:rFonts w:ascii="Times New Roman" w:hAnsi="Times New Roman" w:cs="Times New Roman"/>
          <w:sz w:val="24"/>
          <w:szCs w:val="24"/>
        </w:rPr>
      </w:pPr>
    </w:p>
    <w:p w14:paraId="64B01CA4" w14:textId="77777777" w:rsidR="00235CC9" w:rsidRPr="00BD3590" w:rsidRDefault="00235CC9" w:rsidP="00235CC9">
      <w:pPr>
        <w:spacing w:after="0" w:line="240" w:lineRule="auto"/>
        <w:jc w:val="center"/>
        <w:rPr>
          <w:rFonts w:ascii="Times New Roman" w:hAnsi="Times New Roman" w:cs="Times New Roman"/>
          <w:b/>
          <w:i/>
          <w:iCs/>
          <w:sz w:val="24"/>
          <w:szCs w:val="24"/>
        </w:rPr>
      </w:pPr>
      <w:r w:rsidRPr="00BD3590">
        <w:rPr>
          <w:rFonts w:ascii="Times New Roman" w:hAnsi="Times New Roman" w:cs="Times New Roman"/>
          <w:b/>
          <w:i/>
          <w:iCs/>
          <w:sz w:val="24"/>
          <w:szCs w:val="24"/>
        </w:rPr>
        <w:t>4.1. Portugália</w:t>
      </w:r>
    </w:p>
    <w:p w14:paraId="5347B4FD"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[1</w:t>
      </w:r>
      <w:r>
        <w:rPr>
          <w:rFonts w:ascii="Times New Roman" w:hAnsi="Times New Roman" w:cs="Times New Roman"/>
          <w:sz w:val="24"/>
          <w:szCs w:val="24"/>
        </w:rPr>
        <w:t>9</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Ami az EUB előtti ügyeket illeti, a lengyel eseteket megelőzte egy portugál ügy.</w:t>
      </w:r>
      <w:r w:rsidRPr="00650993">
        <w:rPr>
          <w:rStyle w:val="Lbjegyzet-hivatkozs"/>
          <w:rFonts w:ascii="Times New Roman" w:hAnsi="Times New Roman" w:cs="Times New Roman"/>
          <w:sz w:val="24"/>
          <w:szCs w:val="24"/>
        </w:rPr>
        <w:footnoteReference w:id="8"/>
      </w:r>
      <w:r w:rsidRPr="00650993">
        <w:rPr>
          <w:rFonts w:ascii="Times New Roman" w:hAnsi="Times New Roman" w:cs="Times New Roman"/>
          <w:sz w:val="24"/>
          <w:szCs w:val="24"/>
        </w:rPr>
        <w:t xml:space="preserve"> Ennek előzménye, hogy a portugál jogalkotó a 75/2014. számú törvénnyel 2014 októberétől időszakosan csökkentette számos tisztségviselő, valamint a közszférában feladatot ellátó személy illetményének összegét. Az e törvény alapján elfogadott, „fizetéskezelésről” szóló közigazgatási aktusok értelmében a számvevőszék (</w:t>
      </w:r>
      <w:proofErr w:type="spellStart"/>
      <w:r w:rsidRPr="00650993">
        <w:rPr>
          <w:rFonts w:ascii="Times New Roman" w:hAnsi="Times New Roman" w:cs="Times New Roman"/>
          <w:sz w:val="24"/>
          <w:szCs w:val="24"/>
        </w:rPr>
        <w:t>Tribunal</w:t>
      </w:r>
      <w:proofErr w:type="spellEnd"/>
      <w:r w:rsidRPr="00650993">
        <w:rPr>
          <w:rFonts w:ascii="Times New Roman" w:hAnsi="Times New Roman" w:cs="Times New Roman"/>
          <w:sz w:val="24"/>
          <w:szCs w:val="24"/>
        </w:rPr>
        <w:t xml:space="preserve"> de </w:t>
      </w:r>
      <w:proofErr w:type="spellStart"/>
      <w:r w:rsidRPr="00650993">
        <w:rPr>
          <w:rFonts w:ascii="Times New Roman" w:hAnsi="Times New Roman" w:cs="Times New Roman"/>
          <w:sz w:val="24"/>
          <w:szCs w:val="24"/>
        </w:rPr>
        <w:t>Contas</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bírái</w:t>
      </w:r>
      <w:proofErr w:type="spellEnd"/>
      <w:r w:rsidRPr="00650993">
        <w:rPr>
          <w:rFonts w:ascii="Times New Roman" w:hAnsi="Times New Roman" w:cs="Times New Roman"/>
          <w:sz w:val="24"/>
          <w:szCs w:val="24"/>
        </w:rPr>
        <w:t xml:space="preserve"> illetményének összegét is csökkentették. Az </w:t>
      </w:r>
      <w:proofErr w:type="spellStart"/>
      <w:r w:rsidRPr="00650993">
        <w:rPr>
          <w:rFonts w:ascii="Times New Roman" w:hAnsi="Times New Roman" w:cs="Times New Roman"/>
          <w:sz w:val="24"/>
          <w:szCs w:val="24"/>
        </w:rPr>
        <w:t>Associação</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Sindical</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dos</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Juízes</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Portugueses</w:t>
      </w:r>
      <w:proofErr w:type="spellEnd"/>
      <w:r w:rsidRPr="00650993">
        <w:rPr>
          <w:rFonts w:ascii="Times New Roman" w:hAnsi="Times New Roman" w:cs="Times New Roman"/>
          <w:sz w:val="24"/>
          <w:szCs w:val="24"/>
        </w:rPr>
        <w:t xml:space="preserve">, a portugál </w:t>
      </w:r>
      <w:proofErr w:type="spellStart"/>
      <w:r w:rsidRPr="00650993">
        <w:rPr>
          <w:rFonts w:ascii="Times New Roman" w:hAnsi="Times New Roman" w:cs="Times New Roman"/>
          <w:sz w:val="24"/>
          <w:szCs w:val="24"/>
        </w:rPr>
        <w:t>bírák</w:t>
      </w:r>
      <w:proofErr w:type="spellEnd"/>
      <w:r w:rsidRPr="00650993">
        <w:rPr>
          <w:rFonts w:ascii="Times New Roman" w:hAnsi="Times New Roman" w:cs="Times New Roman"/>
          <w:sz w:val="24"/>
          <w:szCs w:val="24"/>
        </w:rPr>
        <w:t xml:space="preserve"> szakszervezete a számvevőszék tagjainak nevében eljárva rendkívüli közigazgatási keresetet nyújtott be a </w:t>
      </w:r>
      <w:proofErr w:type="spellStart"/>
      <w:r w:rsidRPr="00650993">
        <w:rPr>
          <w:rFonts w:ascii="Times New Roman" w:hAnsi="Times New Roman" w:cs="Times New Roman"/>
          <w:sz w:val="24"/>
          <w:szCs w:val="24"/>
        </w:rPr>
        <w:t>Supremo</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Tribunal</w:t>
      </w:r>
      <w:proofErr w:type="spellEnd"/>
      <w:r w:rsidRPr="00650993">
        <w:rPr>
          <w:rFonts w:ascii="Times New Roman" w:hAnsi="Times New Roman" w:cs="Times New Roman"/>
          <w:sz w:val="24"/>
          <w:szCs w:val="24"/>
        </w:rPr>
        <w:t xml:space="preserve"> </w:t>
      </w:r>
      <w:proofErr w:type="spellStart"/>
      <w:r w:rsidRPr="00650993">
        <w:rPr>
          <w:rFonts w:ascii="Times New Roman" w:hAnsi="Times New Roman" w:cs="Times New Roman"/>
          <w:sz w:val="24"/>
          <w:szCs w:val="24"/>
        </w:rPr>
        <w:t>Administrativo</w:t>
      </w:r>
      <w:proofErr w:type="spellEnd"/>
      <w:r w:rsidRPr="00650993">
        <w:rPr>
          <w:rFonts w:ascii="Times New Roman" w:hAnsi="Times New Roman" w:cs="Times New Roman"/>
          <w:sz w:val="24"/>
          <w:szCs w:val="24"/>
        </w:rPr>
        <w:t xml:space="preserve"> (legfelsőbb közigazgatási bíróság) előtt. Keresete alátámasztásául a szakszervezet előadta, hogy az illetménycsökkentésre irányuló intézkedések sértik a „bírói függetlenség elvét”, amelyet nemcsak a portugál alkotmány, de az uniós jog is kimond az EUSZ 19. cikk (1) bekezdésének második albekezdésében, valamint a</w:t>
      </w:r>
      <w:r>
        <w:rPr>
          <w:rFonts w:ascii="Times New Roman" w:hAnsi="Times New Roman" w:cs="Times New Roman"/>
          <w:sz w:val="24"/>
          <w:szCs w:val="24"/>
        </w:rPr>
        <w:t>z Alapjogi</w:t>
      </w:r>
      <w:r w:rsidRPr="00650993">
        <w:rPr>
          <w:rFonts w:ascii="Times New Roman" w:hAnsi="Times New Roman" w:cs="Times New Roman"/>
          <w:sz w:val="24"/>
          <w:szCs w:val="24"/>
        </w:rPr>
        <w:t xml:space="preserve"> Charta 47. cikkében.</w:t>
      </w:r>
    </w:p>
    <w:p w14:paraId="00F73FF5"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w:t>
      </w:r>
      <w:r>
        <w:rPr>
          <w:rFonts w:ascii="Times New Roman" w:hAnsi="Times New Roman" w:cs="Times New Roman"/>
          <w:sz w:val="24"/>
          <w:szCs w:val="24"/>
        </w:rPr>
        <w:t>2</w:t>
      </w:r>
      <w:r w:rsidRPr="00AF6E0B">
        <w:rPr>
          <w:rFonts w:ascii="Times New Roman" w:hAnsi="Times New Roman" w:cs="Times New Roman"/>
          <w:sz w:val="24"/>
          <w:szCs w:val="24"/>
        </w:rPr>
        <w:t>0</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Habár a konkrét ügyben az EUB döntése értelmében nem merült fel a bírói függetlenség sérelme, a luxemburgi testület fontos elvi tételeket rögzített. Ennek értelmében, annak értékeléséhez, hogy valamely szerv a „bíróság” jellemzőivel rendelkezik</w:t>
      </w:r>
      <w:r w:rsidRPr="00650993">
        <w:rPr>
          <w:rFonts w:ascii="Times New Roman" w:hAnsi="Times New Roman" w:cs="Times New Roman"/>
          <w:sz w:val="24"/>
          <w:szCs w:val="24"/>
        </w:rPr>
        <w:noBreakHyphen/>
        <w:t xml:space="preserve">e, figyelembe kell venni, hogy </w:t>
      </w:r>
      <w:r w:rsidRPr="00650993">
        <w:rPr>
          <w:rFonts w:ascii="Times New Roman" w:hAnsi="Times New Roman" w:cs="Times New Roman"/>
          <w:i/>
          <w:sz w:val="24"/>
          <w:szCs w:val="24"/>
        </w:rPr>
        <w:t>a szerv jogszabály alapján jött</w:t>
      </w:r>
      <w:r w:rsidRPr="00650993">
        <w:rPr>
          <w:rFonts w:ascii="Times New Roman" w:hAnsi="Times New Roman" w:cs="Times New Roman"/>
          <w:i/>
          <w:sz w:val="24"/>
          <w:szCs w:val="24"/>
        </w:rPr>
        <w:noBreakHyphen/>
        <w:t>e létre, állandó jelleggel működik</w:t>
      </w:r>
      <w:r w:rsidRPr="00650993">
        <w:rPr>
          <w:rFonts w:ascii="Times New Roman" w:hAnsi="Times New Roman" w:cs="Times New Roman"/>
          <w:i/>
          <w:sz w:val="24"/>
          <w:szCs w:val="24"/>
        </w:rPr>
        <w:noBreakHyphen/>
        <w:t>e, hatásköre kötelező jellegű</w:t>
      </w:r>
      <w:r w:rsidRPr="00650993">
        <w:rPr>
          <w:rFonts w:ascii="Times New Roman" w:hAnsi="Times New Roman" w:cs="Times New Roman"/>
          <w:i/>
          <w:sz w:val="24"/>
          <w:szCs w:val="24"/>
        </w:rPr>
        <w:noBreakHyphen/>
        <w:t xml:space="preserve">e, az eljárása </w:t>
      </w:r>
      <w:proofErr w:type="spellStart"/>
      <w:r w:rsidRPr="00650993">
        <w:rPr>
          <w:rFonts w:ascii="Times New Roman" w:hAnsi="Times New Roman" w:cs="Times New Roman"/>
          <w:i/>
          <w:sz w:val="24"/>
          <w:szCs w:val="24"/>
        </w:rPr>
        <w:t>kontradiktórius</w:t>
      </w:r>
      <w:proofErr w:type="spellEnd"/>
      <w:r w:rsidRPr="00650993">
        <w:rPr>
          <w:rFonts w:ascii="Times New Roman" w:hAnsi="Times New Roman" w:cs="Times New Roman"/>
          <w:i/>
          <w:sz w:val="24"/>
          <w:szCs w:val="24"/>
        </w:rPr>
        <w:t xml:space="preserve"> jellegű</w:t>
      </w:r>
      <w:r w:rsidRPr="00650993">
        <w:rPr>
          <w:rFonts w:ascii="Times New Roman" w:hAnsi="Times New Roman" w:cs="Times New Roman"/>
          <w:i/>
          <w:sz w:val="24"/>
          <w:szCs w:val="24"/>
        </w:rPr>
        <w:noBreakHyphen/>
        <w:t>e, jogszabályokat alkalmaz</w:t>
      </w:r>
      <w:r w:rsidRPr="00650993">
        <w:rPr>
          <w:rFonts w:ascii="Times New Roman" w:hAnsi="Times New Roman" w:cs="Times New Roman"/>
          <w:i/>
          <w:sz w:val="24"/>
          <w:szCs w:val="24"/>
        </w:rPr>
        <w:noBreakHyphen/>
        <w:t xml:space="preserve">e, valamint </w:t>
      </w:r>
      <w:r w:rsidRPr="00650993">
        <w:rPr>
          <w:rFonts w:ascii="Times New Roman" w:hAnsi="Times New Roman" w:cs="Times New Roman"/>
          <w:i/>
          <w:sz w:val="24"/>
          <w:szCs w:val="24"/>
        </w:rPr>
        <w:lastRenderedPageBreak/>
        <w:t>azt is, hogy független</w:t>
      </w:r>
      <w:r w:rsidRPr="00650993">
        <w:rPr>
          <w:rFonts w:ascii="Times New Roman" w:hAnsi="Times New Roman" w:cs="Times New Roman"/>
          <w:i/>
          <w:sz w:val="24"/>
          <w:szCs w:val="24"/>
        </w:rPr>
        <w:noBreakHyphen/>
        <w:t>e.</w:t>
      </w:r>
      <w:r w:rsidRPr="00650993">
        <w:rPr>
          <w:rFonts w:ascii="Times New Roman" w:hAnsi="Times New Roman" w:cs="Times New Roman"/>
          <w:sz w:val="24"/>
          <w:szCs w:val="24"/>
        </w:rPr>
        <w:t xml:space="preserve"> Ennek következménye, hogy az EUMSZ 267. cikkben előírt előzetes döntéshozatali mechanizmust is csak olyan testület kezdeményezheti, amely teljesíti a többi mellett a függetlenségre vonatkozó feltételt.</w:t>
      </w:r>
      <w:r w:rsidRPr="00650993">
        <w:rPr>
          <w:rStyle w:val="Lbjegyzet-hivatkozs"/>
          <w:rFonts w:ascii="Times New Roman" w:hAnsi="Times New Roman" w:cs="Times New Roman"/>
          <w:sz w:val="24"/>
          <w:szCs w:val="24"/>
        </w:rPr>
        <w:footnoteReference w:id="9"/>
      </w:r>
      <w:r w:rsidRPr="00650993">
        <w:rPr>
          <w:rFonts w:ascii="Times New Roman" w:hAnsi="Times New Roman" w:cs="Times New Roman"/>
          <w:sz w:val="24"/>
          <w:szCs w:val="24"/>
        </w:rPr>
        <w:t xml:space="preserve"> Utóbbi vonatkozásában a testület azt is megállapította, hogy a „függetlenség fogalma többek között azt feltételezi, hogy az érintett fórum teljesen autonóm módon gyakorolja bírói feladatkörét anélkül, hogy bármilyen hierarchikus kapcsolatban lenne, vagy bárkinek alá lenne rendelve, és anélkül, hogy bárhonnan utasításokat kapna, így védett az olyan külső beavatkozással vagy nyomással szemben, amely veszélyeztetheti tagjai határozathozatalának függetlenségét, és határozataikat befolyásolhatja”.</w:t>
      </w:r>
      <w:r w:rsidRPr="00650993">
        <w:rPr>
          <w:rStyle w:val="Lbjegyzet-hivatkozs"/>
          <w:rFonts w:ascii="Times New Roman" w:hAnsi="Times New Roman" w:cs="Times New Roman"/>
          <w:sz w:val="24"/>
          <w:szCs w:val="24"/>
        </w:rPr>
        <w:footnoteReference w:id="10"/>
      </w:r>
      <w:r w:rsidRPr="00650993">
        <w:rPr>
          <w:rFonts w:ascii="Times New Roman" w:hAnsi="Times New Roman" w:cs="Times New Roman"/>
          <w:sz w:val="24"/>
          <w:szCs w:val="24"/>
        </w:rPr>
        <w:t xml:space="preserve"> A jogvédelem biztosítása érdekében pedig a bíróságok függetlenségének megőrzése alapvető fontosságú az Alapjogi Charta 47. cikkének második bekezdésére is tekintettel, amely a hatékony jogorvoslathoz való alapvető joghoz fűződő követelmények sorában említi a független bírósághoz való fordulást. </w:t>
      </w:r>
    </w:p>
    <w:p w14:paraId="285D38A7" w14:textId="77777777" w:rsidR="00235CC9" w:rsidRPr="00650993" w:rsidRDefault="00235CC9" w:rsidP="00235CC9">
      <w:pPr>
        <w:spacing w:after="0" w:line="240" w:lineRule="auto"/>
        <w:jc w:val="both"/>
        <w:rPr>
          <w:rFonts w:ascii="Times New Roman" w:hAnsi="Times New Roman" w:cs="Times New Roman"/>
          <w:sz w:val="24"/>
          <w:szCs w:val="24"/>
        </w:rPr>
      </w:pPr>
      <w:r w:rsidRPr="000E2EA5">
        <w:rPr>
          <w:rFonts w:ascii="Times New Roman" w:hAnsi="Times New Roman" w:cs="Times New Roman"/>
          <w:sz w:val="24"/>
          <w:szCs w:val="24"/>
        </w:rPr>
        <w:t>[2</w:t>
      </w:r>
      <w:r>
        <w:rPr>
          <w:rFonts w:ascii="Times New Roman" w:hAnsi="Times New Roman" w:cs="Times New Roman"/>
          <w:sz w:val="24"/>
          <w:szCs w:val="24"/>
        </w:rPr>
        <w:t>1</w:t>
      </w:r>
      <w:r w:rsidRPr="000E2EA5">
        <w:rPr>
          <w:rFonts w:ascii="Times New Roman" w:hAnsi="Times New Roman" w:cs="Times New Roman"/>
          <w:sz w:val="24"/>
          <w:szCs w:val="24"/>
        </w:rPr>
        <w:t xml:space="preserve">] </w:t>
      </w:r>
      <w:r w:rsidRPr="00650993">
        <w:rPr>
          <w:rFonts w:ascii="Times New Roman" w:hAnsi="Times New Roman" w:cs="Times New Roman"/>
          <w:sz w:val="24"/>
          <w:szCs w:val="24"/>
        </w:rPr>
        <w:t>Ezt az alaphelyzetet megteremtő első felvonást követték az ú</w:t>
      </w:r>
      <w:r>
        <w:rPr>
          <w:rFonts w:ascii="Times New Roman" w:hAnsi="Times New Roman" w:cs="Times New Roman"/>
          <w:sz w:val="24"/>
          <w:szCs w:val="24"/>
        </w:rPr>
        <w:t>gynevezett</w:t>
      </w:r>
      <w:r w:rsidRPr="00650993">
        <w:rPr>
          <w:rFonts w:ascii="Times New Roman" w:hAnsi="Times New Roman" w:cs="Times New Roman"/>
          <w:sz w:val="24"/>
          <w:szCs w:val="24"/>
        </w:rPr>
        <w:t xml:space="preserve"> „lengyel ügyek”. </w:t>
      </w:r>
    </w:p>
    <w:p w14:paraId="7CDB379E" w14:textId="77777777" w:rsidR="00235CC9" w:rsidRPr="00650993" w:rsidRDefault="00235CC9" w:rsidP="00235CC9">
      <w:pPr>
        <w:spacing w:after="0" w:line="240" w:lineRule="auto"/>
        <w:jc w:val="both"/>
        <w:rPr>
          <w:rFonts w:ascii="Times New Roman" w:hAnsi="Times New Roman" w:cs="Times New Roman"/>
          <w:sz w:val="24"/>
          <w:szCs w:val="24"/>
        </w:rPr>
      </w:pPr>
    </w:p>
    <w:p w14:paraId="2EFBF381" w14:textId="6AF21E1F" w:rsidR="00B92E7E" w:rsidRPr="00B92E7E" w:rsidRDefault="00026AEE" w:rsidP="00B92E7E">
      <w:pPr>
        <w:spacing w:after="0" w:line="240" w:lineRule="auto"/>
        <w:jc w:val="both"/>
        <w:rPr>
          <w:rFonts w:ascii="Times New Roman" w:hAnsi="Times New Roman" w:cs="Times New Roman"/>
          <w:i/>
          <w:iCs/>
          <w:sz w:val="24"/>
          <w:szCs w:val="24"/>
        </w:rPr>
        <w:sectPr w:rsidR="00B92E7E" w:rsidRPr="00B92E7E" w:rsidSect="00B92E7E">
          <w:footnotePr>
            <w:numRestart w:val="eachSect"/>
          </w:footnotePr>
          <w:pgSz w:w="11906" w:h="16838"/>
          <w:pgMar w:top="1417" w:right="1417" w:bottom="1417" w:left="1417" w:header="708" w:footer="708" w:gutter="0"/>
          <w:cols w:space="708"/>
        </w:sectPr>
      </w:pPr>
      <w:r w:rsidRPr="00650993">
        <w:rPr>
          <w:rFonts w:ascii="Times New Roman" w:hAnsi="Times New Roman" w:cs="Times New Roman"/>
          <w:i/>
          <w:iCs/>
          <w:sz w:val="24"/>
          <w:szCs w:val="24"/>
        </w:rPr>
        <w:t>(Megjelent: EU Jog Online, 2021/1</w:t>
      </w:r>
      <w:r>
        <w:rPr>
          <w:rFonts w:ascii="Times New Roman" w:hAnsi="Times New Roman" w:cs="Times New Roman"/>
          <w:i/>
          <w:iCs/>
          <w:sz w:val="24"/>
          <w:szCs w:val="24"/>
        </w:rPr>
        <w:t>–</w:t>
      </w:r>
      <w:r w:rsidRPr="00650993">
        <w:rPr>
          <w:rFonts w:ascii="Times New Roman" w:hAnsi="Times New Roman" w:cs="Times New Roman"/>
          <w:i/>
          <w:iCs/>
          <w:sz w:val="24"/>
          <w:szCs w:val="24"/>
        </w:rPr>
        <w:t>2. sz.</w:t>
      </w:r>
    </w:p>
    <w:p w14:paraId="38171B4F" w14:textId="697F8455" w:rsidR="00EB6A32" w:rsidRDefault="00EB6A32" w:rsidP="00FD6B54">
      <w:pPr>
        <w:pStyle w:val="Default"/>
        <w:rPr>
          <w:b/>
          <w:bCs/>
          <w:color w:val="000000" w:themeColor="text1"/>
        </w:rPr>
      </w:pPr>
      <w:r>
        <w:rPr>
          <w:noProof/>
        </w:rPr>
        <w:lastRenderedPageBreak/>
        <mc:AlternateContent>
          <mc:Choice Requires="wps">
            <w:drawing>
              <wp:anchor distT="0" distB="0" distL="114300" distR="114300" simplePos="0" relativeHeight="251675648" behindDoc="0" locked="0" layoutInCell="1" allowOverlap="1" wp14:anchorId="5C049A87" wp14:editId="5292BB8C">
                <wp:simplePos x="0" y="0"/>
                <wp:positionH relativeFrom="column">
                  <wp:posOffset>0</wp:posOffset>
                </wp:positionH>
                <wp:positionV relativeFrom="paragraph">
                  <wp:posOffset>76200</wp:posOffset>
                </wp:positionV>
                <wp:extent cx="5816600" cy="0"/>
                <wp:effectExtent l="0" t="0" r="12700" b="12700"/>
                <wp:wrapNone/>
                <wp:docPr id="9" name="Egyenes összekötő 9"/>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741AE14" id="Egyenes összekötő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6pt" to="4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" strokecolor="#4472c4 [3204]" strokeweight=".5pt">
                <v:stroke joinstyle="miter"/>
              </v:line>
            </w:pict>
          </mc:Fallback>
        </mc:AlternateContent>
      </w:r>
    </w:p>
    <w:p w14:paraId="40D3D4E9" w14:textId="5B251157" w:rsidR="00684037" w:rsidRDefault="00684037" w:rsidP="00F1159E">
      <w:pPr>
        <w:pStyle w:val="Default"/>
        <w:jc w:val="center"/>
        <w:rPr>
          <w:b/>
          <w:bCs/>
          <w:color w:val="FF0000"/>
        </w:rPr>
      </w:pPr>
      <w:r>
        <w:rPr>
          <w:b/>
          <w:bCs/>
          <w:color w:val="000000" w:themeColor="text1"/>
        </w:rPr>
        <w:t>3</w:t>
      </w:r>
      <w:r w:rsidRPr="00EF3A89">
        <w:rPr>
          <w:b/>
          <w:bCs/>
          <w:color w:val="000000" w:themeColor="text1"/>
        </w:rPr>
        <w:t xml:space="preserve">. </w:t>
      </w:r>
      <w:r>
        <w:rPr>
          <w:b/>
          <w:bCs/>
          <w:color w:val="FF0000"/>
        </w:rPr>
        <w:t>JOGESETELEMZÉS:</w:t>
      </w:r>
    </w:p>
    <w:p w14:paraId="199BB6E1" w14:textId="77777777" w:rsidR="00684037" w:rsidRDefault="00684037" w:rsidP="00FD6B54">
      <w:pPr>
        <w:pStyle w:val="Default"/>
        <w:rPr>
          <w:b/>
          <w:bCs/>
        </w:rPr>
      </w:pPr>
    </w:p>
    <w:p w14:paraId="05C38D1D" w14:textId="77777777" w:rsidR="00684037" w:rsidRPr="00235CC9" w:rsidRDefault="00684037" w:rsidP="00FD6B54">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lehetnek alcímek</w:t>
      </w:r>
    </w:p>
    <w:p w14:paraId="3A094DEE" w14:textId="77777777" w:rsidR="00684037" w:rsidRPr="00235CC9" w:rsidRDefault="00684037" w:rsidP="00FD6B54">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 alatt a bekezdésszámozás folyamatos</w:t>
      </w:r>
    </w:p>
    <w:p w14:paraId="11FF6660" w14:textId="77777777" w:rsidR="00684037" w:rsidRPr="00235CC9" w:rsidRDefault="00684037" w:rsidP="00FD6B54">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alcímekhez többszintű decimális számozást is lehet használni</w:t>
      </w:r>
    </w:p>
    <w:p w14:paraId="5F879F39" w14:textId="4C1E4989" w:rsidR="006F6DF3" w:rsidRDefault="00684037" w:rsidP="00FD6B54">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w:t>
      </w:r>
      <w:r w:rsidR="00FD6B54">
        <w:rPr>
          <w:rFonts w:ascii="Times New Roman" w:eastAsia="Times New Roman" w:hAnsi="Times New Roman" w:cs="Times New Roman"/>
          <w:bCs/>
          <w:sz w:val="24"/>
          <w:szCs w:val="24"/>
        </w:rPr>
        <w:t xml:space="preserve"> </w:t>
      </w:r>
      <w:r w:rsidRPr="00235CC9">
        <w:rPr>
          <w:rFonts w:ascii="Times New Roman" w:eastAsia="Times New Roman" w:hAnsi="Times New Roman" w:cs="Times New Roman"/>
          <w:bCs/>
          <w:sz w:val="24"/>
          <w:szCs w:val="24"/>
        </w:rPr>
        <w:t>vannak lábjegyzetek – ezeknek a formátuma kötött, a mintában szereplő módon kell megjelenniük</w:t>
      </w:r>
      <w:r>
        <w:rPr>
          <w:rFonts w:ascii="Times New Roman" w:eastAsia="Times New Roman" w:hAnsi="Times New Roman" w:cs="Times New Roman"/>
          <w:bCs/>
          <w:sz w:val="24"/>
          <w:szCs w:val="24"/>
        </w:rPr>
        <w:t xml:space="preserve"> mind a döntvényeknek, mind a szakirodalmi hivatkozásoknak</w:t>
      </w:r>
    </w:p>
    <w:p w14:paraId="5117CF28" w14:textId="18ABAF45" w:rsidR="006F6DF3" w:rsidRDefault="006F6DF3" w:rsidP="00684037">
      <w:pPr>
        <w:spacing w:after="0" w:line="240" w:lineRule="auto"/>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667456" behindDoc="0" locked="0" layoutInCell="1" allowOverlap="1" wp14:anchorId="2AF14DC4" wp14:editId="18B3620F">
                <wp:simplePos x="0" y="0"/>
                <wp:positionH relativeFrom="column">
                  <wp:posOffset>0</wp:posOffset>
                </wp:positionH>
                <wp:positionV relativeFrom="paragraph">
                  <wp:posOffset>67099</wp:posOffset>
                </wp:positionV>
                <wp:extent cx="5816600" cy="0"/>
                <wp:effectExtent l="0" t="0" r="12700" b="12700"/>
                <wp:wrapNone/>
                <wp:docPr id="6" name="Egyenes összekötő 6"/>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7A12875" id="Egyenes összekötő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3pt" to="4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" strokecolor="#4472c4 [3204]" strokeweight=".5pt">
                <v:stroke joinstyle="miter"/>
              </v:line>
            </w:pict>
          </mc:Fallback>
        </mc:AlternateContent>
      </w:r>
    </w:p>
    <w:p w14:paraId="6E685D6B" w14:textId="77777777" w:rsidR="006F6DF3" w:rsidRPr="00FA7387" w:rsidRDefault="006F6DF3" w:rsidP="006F6DF3">
      <w:pPr>
        <w:pStyle w:val="Cmsor1"/>
        <w:spacing w:before="0" w:line="240" w:lineRule="auto"/>
        <w:jc w:val="center"/>
        <w:rPr>
          <w:rFonts w:ascii="Times New Roman" w:hAnsi="Times New Roman" w:cs="Times New Roman"/>
          <w:b/>
          <w:color w:val="000000" w:themeColor="text1"/>
          <w:sz w:val="24"/>
          <w:szCs w:val="24"/>
        </w:rPr>
      </w:pPr>
      <w:bookmarkStart w:id="0" w:name="_Toc519836018"/>
      <w:bookmarkStart w:id="1" w:name="_po-heading-id_bUMdPtibakKMDujVgjAf0g"/>
      <w:r w:rsidRPr="00FA7387">
        <w:rPr>
          <w:rFonts w:ascii="Times New Roman" w:hAnsi="Times New Roman" w:cs="Times New Roman"/>
          <w:b/>
          <w:color w:val="000000" w:themeColor="text1"/>
          <w:sz w:val="24"/>
          <w:szCs w:val="24"/>
        </w:rPr>
        <w:t>EU Jog Online 2021/1</w:t>
      </w:r>
      <w:r>
        <w:rPr>
          <w:rFonts w:ascii="Times New Roman" w:hAnsi="Times New Roman" w:cs="Times New Roman"/>
          <w:b/>
          <w:color w:val="000000" w:themeColor="text1"/>
          <w:sz w:val="24"/>
          <w:szCs w:val="24"/>
        </w:rPr>
        <w:t>–</w:t>
      </w:r>
      <w:r w:rsidRPr="00FA7387">
        <w:rPr>
          <w:rFonts w:ascii="Times New Roman" w:hAnsi="Times New Roman" w:cs="Times New Roman"/>
          <w:b/>
          <w:color w:val="000000" w:themeColor="text1"/>
          <w:sz w:val="24"/>
          <w:szCs w:val="24"/>
        </w:rPr>
        <w:t>2. – Jogesetelemzés</w:t>
      </w:r>
      <w:bookmarkEnd w:id="0"/>
      <w:bookmarkEnd w:id="1"/>
    </w:p>
    <w:p w14:paraId="34D4BD2B" w14:textId="77777777" w:rsidR="006F6DF3" w:rsidRDefault="006F6DF3" w:rsidP="006F6DF3">
      <w:pPr>
        <w:pStyle w:val="Cmsor1"/>
        <w:spacing w:before="0" w:line="240" w:lineRule="auto"/>
        <w:jc w:val="center"/>
        <w:rPr>
          <w:rFonts w:ascii="Times New Roman" w:hAnsi="Times New Roman" w:cs="Times New Roman"/>
          <w:b/>
          <w:color w:val="000000" w:themeColor="text1"/>
          <w:sz w:val="24"/>
          <w:szCs w:val="24"/>
        </w:rPr>
      </w:pPr>
      <w:bookmarkStart w:id="2" w:name="_po-heading-id_cv15jAtdBkK0mK9xpjVbPQ"/>
      <w:bookmarkEnd w:id="2"/>
    </w:p>
    <w:p w14:paraId="6069F8A8" w14:textId="77777777" w:rsidR="006F6DF3" w:rsidRPr="00FA7387" w:rsidRDefault="006F6DF3" w:rsidP="006F6DF3">
      <w:pPr>
        <w:pStyle w:val="Cmsor1"/>
        <w:spacing w:before="0" w:line="240" w:lineRule="auto"/>
        <w:jc w:val="center"/>
        <w:rPr>
          <w:rFonts w:ascii="Times New Roman" w:hAnsi="Times New Roman" w:cs="Times New Roman"/>
          <w:color w:val="000000" w:themeColor="text1"/>
          <w:sz w:val="24"/>
          <w:szCs w:val="24"/>
        </w:rPr>
      </w:pPr>
      <w:bookmarkStart w:id="3" w:name="_po-heading-id_lv-xEbcO3k6M4iail1GfIQ"/>
      <w:r w:rsidRPr="00FA7387">
        <w:rPr>
          <w:rFonts w:ascii="Times New Roman" w:hAnsi="Times New Roman" w:cs="Times New Roman"/>
          <w:b/>
          <w:color w:val="000000" w:themeColor="text1"/>
          <w:sz w:val="24"/>
          <w:szCs w:val="24"/>
        </w:rPr>
        <w:t>Simon Károly László</w:t>
      </w:r>
      <w:r w:rsidRPr="00FA7387">
        <w:rPr>
          <w:rStyle w:val="Lbjegyzet-hivatkozs"/>
          <w:rFonts w:ascii="Times New Roman" w:hAnsi="Times New Roman" w:cs="Times New Roman"/>
          <w:color w:val="000000" w:themeColor="text1"/>
          <w:sz w:val="24"/>
          <w:szCs w:val="24"/>
        </w:rPr>
        <w:footnoteReference w:id="11"/>
      </w:r>
      <w:r w:rsidRPr="00FA7387">
        <w:rPr>
          <w:rFonts w:ascii="Times New Roman" w:hAnsi="Times New Roman" w:cs="Times New Roman"/>
          <w:b/>
          <w:color w:val="000000" w:themeColor="text1"/>
          <w:sz w:val="24"/>
          <w:szCs w:val="24"/>
        </w:rPr>
        <w:t>: A közintézmények határon átnyúló tartási követelésének joghatósági dilemmái</w:t>
      </w:r>
      <w:bookmarkEnd w:id="3"/>
    </w:p>
    <w:p w14:paraId="5C751D4C" w14:textId="77777777" w:rsidR="006F6DF3" w:rsidRDefault="006F6DF3" w:rsidP="006F6DF3">
      <w:pPr>
        <w:spacing w:after="0" w:line="240" w:lineRule="auto"/>
        <w:jc w:val="both"/>
        <w:rPr>
          <w:rFonts w:ascii="Times New Roman" w:hAnsi="Times New Roman" w:cs="Times New Roman"/>
          <w:color w:val="000000" w:themeColor="text1"/>
          <w:sz w:val="24"/>
          <w:szCs w:val="24"/>
        </w:rPr>
      </w:pPr>
      <w:bookmarkStart w:id="4" w:name="_Toc519836019"/>
    </w:p>
    <w:p w14:paraId="13F1C567" w14:textId="77777777" w:rsidR="006F6DF3" w:rsidRPr="00FA7387" w:rsidRDefault="006F6DF3" w:rsidP="006F6DF3">
      <w:pPr>
        <w:spacing w:after="0" w:line="240" w:lineRule="auto"/>
        <w:jc w:val="center"/>
        <w:rPr>
          <w:rFonts w:ascii="Times New Roman" w:hAnsi="Times New Roman" w:cs="Times New Roman"/>
          <w:b/>
          <w:bCs/>
          <w:i/>
          <w:iCs/>
          <w:color w:val="000000" w:themeColor="text1"/>
          <w:sz w:val="24"/>
          <w:szCs w:val="24"/>
        </w:rPr>
      </w:pPr>
      <w:r w:rsidRPr="00FA7387">
        <w:rPr>
          <w:rFonts w:ascii="Times New Roman" w:hAnsi="Times New Roman" w:cs="Times New Roman"/>
          <w:b/>
          <w:bCs/>
          <w:i/>
          <w:iCs/>
        </w:rPr>
        <w:t xml:space="preserve">Európai Unió Bírósága – Bíróság: </w:t>
      </w:r>
      <w:r w:rsidRPr="00FA7387">
        <w:rPr>
          <w:rFonts w:ascii="Times New Roman" w:hAnsi="Times New Roman" w:cs="Times New Roman"/>
          <w:b/>
          <w:bCs/>
          <w:i/>
          <w:iCs/>
          <w:color w:val="000000" w:themeColor="text1"/>
          <w:sz w:val="24"/>
          <w:szCs w:val="24"/>
        </w:rPr>
        <w:t xml:space="preserve">C-540/19. WV kontra </w:t>
      </w:r>
      <w:proofErr w:type="spellStart"/>
      <w:r w:rsidRPr="00FA7387">
        <w:rPr>
          <w:rFonts w:ascii="Times New Roman" w:hAnsi="Times New Roman" w:cs="Times New Roman"/>
          <w:b/>
          <w:bCs/>
          <w:i/>
          <w:iCs/>
          <w:color w:val="000000" w:themeColor="text1"/>
          <w:sz w:val="24"/>
          <w:szCs w:val="24"/>
        </w:rPr>
        <w:t>Landkreis</w:t>
      </w:r>
      <w:proofErr w:type="spellEnd"/>
      <w:r w:rsidRPr="00FA7387">
        <w:rPr>
          <w:rFonts w:ascii="Times New Roman" w:hAnsi="Times New Roman" w:cs="Times New Roman"/>
          <w:b/>
          <w:bCs/>
          <w:i/>
          <w:iCs/>
          <w:color w:val="000000" w:themeColor="text1"/>
          <w:sz w:val="24"/>
          <w:szCs w:val="24"/>
        </w:rPr>
        <w:t xml:space="preserve"> </w:t>
      </w:r>
      <w:proofErr w:type="spellStart"/>
      <w:r w:rsidRPr="00FA7387">
        <w:rPr>
          <w:rFonts w:ascii="Times New Roman" w:hAnsi="Times New Roman" w:cs="Times New Roman"/>
          <w:b/>
          <w:bCs/>
          <w:i/>
          <w:iCs/>
          <w:color w:val="000000" w:themeColor="text1"/>
          <w:sz w:val="24"/>
          <w:szCs w:val="24"/>
        </w:rPr>
        <w:t>Harburg</w:t>
      </w:r>
      <w:proofErr w:type="spellEnd"/>
      <w:r w:rsidRPr="00FA7387">
        <w:rPr>
          <w:rFonts w:ascii="Times New Roman" w:hAnsi="Times New Roman" w:cs="Times New Roman"/>
          <w:b/>
          <w:bCs/>
          <w:i/>
          <w:iCs/>
          <w:color w:val="000000" w:themeColor="text1"/>
          <w:sz w:val="24"/>
          <w:szCs w:val="24"/>
        </w:rPr>
        <w:t xml:space="preserve"> ügyben 2020. szeptember 17-én hozott ítélet, ECLI:EU:C:2020:732</w:t>
      </w:r>
    </w:p>
    <w:bookmarkEnd w:id="4"/>
    <w:p w14:paraId="3D2EBD43"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p>
    <w:p w14:paraId="451F79B3" w14:textId="77777777" w:rsidR="006F6DF3" w:rsidRPr="00FA7387" w:rsidRDefault="006F6DF3" w:rsidP="006F6DF3">
      <w:pPr>
        <w:spacing w:after="0" w:line="240" w:lineRule="auto"/>
        <w:jc w:val="both"/>
        <w:rPr>
          <w:rFonts w:ascii="Times New Roman" w:hAnsi="Times New Roman" w:cs="Times New Roman"/>
          <w:i/>
          <w:iCs/>
          <w:color w:val="000000" w:themeColor="text1"/>
          <w:sz w:val="24"/>
          <w:szCs w:val="24"/>
        </w:rPr>
      </w:pPr>
      <w:r w:rsidRPr="00FA7387">
        <w:rPr>
          <w:rFonts w:ascii="Times New Roman" w:hAnsi="Times New Roman" w:cs="Times New Roman"/>
          <w:i/>
          <w:iCs/>
          <w:color w:val="000000" w:themeColor="text1"/>
          <w:sz w:val="24"/>
          <w:szCs w:val="24"/>
        </w:rPr>
        <w:t>A 4/2009/EK tanácsi rendele</w:t>
      </w:r>
      <w:r>
        <w:rPr>
          <w:rFonts w:ascii="Times New Roman" w:hAnsi="Times New Roman" w:cs="Times New Roman"/>
          <w:i/>
          <w:iCs/>
          <w:color w:val="000000" w:themeColor="text1"/>
          <w:sz w:val="24"/>
          <w:szCs w:val="24"/>
        </w:rPr>
        <w:t>t</w:t>
      </w:r>
      <w:r w:rsidRPr="00FA7387">
        <w:rPr>
          <w:rFonts w:ascii="Times New Roman" w:hAnsi="Times New Roman" w:cs="Times New Roman"/>
          <w:i/>
          <w:iCs/>
          <w:color w:val="000000" w:themeColor="text1"/>
          <w:sz w:val="24"/>
          <w:szCs w:val="24"/>
        </w:rPr>
        <w:t xml:space="preserve"> új alapokra helyezte az Európai Unión belüli tartásdíjigény-érvényesítést. A tartásdíjigények határon átívelő érvényesítésének szabályai között több értelmezési kérdést vetett fel a közintézmények igényérvényesítése. A probléma végére a rendelet hatálybalépése után közel tíz évvel később az Európai Unió Bírósága tett pontot a </w:t>
      </w:r>
      <w:proofErr w:type="spellStart"/>
      <w:r w:rsidRPr="00FA7387">
        <w:rPr>
          <w:rFonts w:ascii="Times New Roman" w:hAnsi="Times New Roman" w:cs="Times New Roman"/>
          <w:i/>
          <w:iCs/>
          <w:color w:val="000000" w:themeColor="text1"/>
          <w:sz w:val="24"/>
          <w:szCs w:val="24"/>
        </w:rPr>
        <w:t>Landkreis</w:t>
      </w:r>
      <w:proofErr w:type="spellEnd"/>
      <w:r w:rsidRPr="00FA7387">
        <w:rPr>
          <w:rFonts w:ascii="Times New Roman" w:hAnsi="Times New Roman" w:cs="Times New Roman"/>
          <w:i/>
          <w:iCs/>
          <w:color w:val="000000" w:themeColor="text1"/>
          <w:sz w:val="24"/>
          <w:szCs w:val="24"/>
        </w:rPr>
        <w:t xml:space="preserve"> </w:t>
      </w:r>
      <w:proofErr w:type="spellStart"/>
      <w:r w:rsidRPr="00FA7387">
        <w:rPr>
          <w:rFonts w:ascii="Times New Roman" w:hAnsi="Times New Roman" w:cs="Times New Roman"/>
          <w:i/>
          <w:iCs/>
          <w:color w:val="000000" w:themeColor="text1"/>
          <w:sz w:val="24"/>
          <w:szCs w:val="24"/>
        </w:rPr>
        <w:t>Harburg</w:t>
      </w:r>
      <w:proofErr w:type="spellEnd"/>
      <w:r>
        <w:rPr>
          <w:rFonts w:ascii="Times New Roman" w:hAnsi="Times New Roman" w:cs="Times New Roman"/>
          <w:i/>
          <w:iCs/>
          <w:color w:val="000000" w:themeColor="text1"/>
          <w:sz w:val="24"/>
          <w:szCs w:val="24"/>
        </w:rPr>
        <w:t>-</w:t>
      </w:r>
      <w:r w:rsidRPr="00FA7387">
        <w:rPr>
          <w:rFonts w:ascii="Times New Roman" w:hAnsi="Times New Roman" w:cs="Times New Roman"/>
          <w:i/>
          <w:iCs/>
          <w:color w:val="000000" w:themeColor="text1"/>
          <w:sz w:val="24"/>
          <w:szCs w:val="24"/>
        </w:rPr>
        <w:t xml:space="preserve">ítélettel: a Bíróság az ügyben arra a kérdésre kereste a választ, hogy a jogosult szokásos tartózkodási helyén alapuló joghatósági szabályra hivatkozhat-e olyan közintézmény, amelyre az eredeti jogosult tartási igénye törvény erejénél fogva szállt át. Az ügy egyik érdekessége, hogy a Bíróság 2004-ben a </w:t>
      </w:r>
      <w:proofErr w:type="spellStart"/>
      <w:r w:rsidRPr="00FA7387">
        <w:rPr>
          <w:rFonts w:ascii="Times New Roman" w:hAnsi="Times New Roman" w:cs="Times New Roman"/>
          <w:i/>
          <w:iCs/>
          <w:color w:val="000000" w:themeColor="text1"/>
          <w:sz w:val="24"/>
          <w:szCs w:val="24"/>
        </w:rPr>
        <w:t>Blijdenstein</w:t>
      </w:r>
      <w:proofErr w:type="spellEnd"/>
      <w:r w:rsidRPr="00FA7387">
        <w:rPr>
          <w:rFonts w:ascii="Times New Roman" w:hAnsi="Times New Roman" w:cs="Times New Roman"/>
          <w:i/>
          <w:iCs/>
          <w:color w:val="000000" w:themeColor="text1"/>
          <w:sz w:val="24"/>
          <w:szCs w:val="24"/>
        </w:rPr>
        <w:t xml:space="preserve">-ítélettel már adott választ erre a kérdésre: akkor az 1968. évi Brüsszeli Egyezmény 5. cikk 2. pontjában foglalt rendelkezést értelmezte ugyanebből az aspektusból, a 4/2009/EK rendelet által teremtett új jogi környezetben ugyanakkor szükségessé vált a </w:t>
      </w:r>
      <w:proofErr w:type="spellStart"/>
      <w:r w:rsidRPr="00FA7387">
        <w:rPr>
          <w:rFonts w:ascii="Times New Roman" w:hAnsi="Times New Roman" w:cs="Times New Roman"/>
          <w:i/>
          <w:iCs/>
          <w:color w:val="000000" w:themeColor="text1"/>
          <w:sz w:val="24"/>
          <w:szCs w:val="24"/>
        </w:rPr>
        <w:t>Blijdenstein</w:t>
      </w:r>
      <w:proofErr w:type="spellEnd"/>
      <w:r w:rsidRPr="00FA7387">
        <w:rPr>
          <w:rFonts w:ascii="Times New Roman" w:hAnsi="Times New Roman" w:cs="Times New Roman"/>
          <w:i/>
          <w:iCs/>
          <w:color w:val="000000" w:themeColor="text1"/>
          <w:sz w:val="24"/>
          <w:szCs w:val="24"/>
        </w:rPr>
        <w:t>-döntésben adott válasz fenntarthatóság</w:t>
      </w:r>
      <w:r>
        <w:rPr>
          <w:rFonts w:ascii="Times New Roman" w:hAnsi="Times New Roman" w:cs="Times New Roman"/>
          <w:i/>
          <w:iCs/>
          <w:color w:val="000000" w:themeColor="text1"/>
          <w:sz w:val="24"/>
          <w:szCs w:val="24"/>
        </w:rPr>
        <w:t>ának vizsgálat</w:t>
      </w:r>
      <w:r w:rsidRPr="00FA7387">
        <w:rPr>
          <w:rFonts w:ascii="Times New Roman" w:hAnsi="Times New Roman" w:cs="Times New Roman"/>
          <w:i/>
          <w:iCs/>
          <w:color w:val="000000" w:themeColor="text1"/>
          <w:sz w:val="24"/>
          <w:szCs w:val="24"/>
        </w:rPr>
        <w:t>a.</w:t>
      </w:r>
    </w:p>
    <w:p w14:paraId="638C9101"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p>
    <w:p w14:paraId="22A3D06C" w14:textId="77777777" w:rsidR="006F6DF3" w:rsidRPr="00A057F3" w:rsidRDefault="006F6DF3" w:rsidP="006F6DF3">
      <w:pPr>
        <w:spacing w:after="0" w:line="240" w:lineRule="auto"/>
        <w:jc w:val="both"/>
        <w:rPr>
          <w:rFonts w:ascii="Times New Roman" w:hAnsi="Times New Roman" w:cs="Times New Roman"/>
          <w:i/>
          <w:color w:val="000000" w:themeColor="text1"/>
          <w:sz w:val="24"/>
          <w:szCs w:val="24"/>
        </w:rPr>
      </w:pPr>
      <w:r w:rsidRPr="00A057F3">
        <w:rPr>
          <w:rFonts w:ascii="Times New Roman" w:hAnsi="Times New Roman" w:cs="Times New Roman"/>
          <w:i/>
          <w:color w:val="000000" w:themeColor="text1"/>
          <w:sz w:val="24"/>
          <w:szCs w:val="24"/>
        </w:rPr>
        <w:t>Alka</w:t>
      </w:r>
      <w:r>
        <w:rPr>
          <w:rFonts w:ascii="Times New Roman" w:hAnsi="Times New Roman" w:cs="Times New Roman"/>
          <w:i/>
          <w:color w:val="000000" w:themeColor="text1"/>
          <w:sz w:val="24"/>
          <w:szCs w:val="24"/>
        </w:rPr>
        <w:t>l</w:t>
      </w:r>
      <w:r w:rsidRPr="00A057F3">
        <w:rPr>
          <w:rFonts w:ascii="Times New Roman" w:hAnsi="Times New Roman" w:cs="Times New Roman"/>
          <w:i/>
          <w:color w:val="000000" w:themeColor="text1"/>
          <w:sz w:val="24"/>
          <w:szCs w:val="24"/>
        </w:rPr>
        <w:t xml:space="preserve">mazott jogszabályhelyek: 4/2009/EK </w:t>
      </w:r>
      <w:r>
        <w:rPr>
          <w:rFonts w:ascii="Times New Roman" w:hAnsi="Times New Roman" w:cs="Times New Roman"/>
          <w:i/>
          <w:color w:val="000000" w:themeColor="text1"/>
          <w:sz w:val="24"/>
          <w:szCs w:val="24"/>
        </w:rPr>
        <w:t xml:space="preserve">tanácsi </w:t>
      </w:r>
      <w:r w:rsidRPr="00A057F3">
        <w:rPr>
          <w:rFonts w:ascii="Times New Roman" w:hAnsi="Times New Roman" w:cs="Times New Roman"/>
          <w:i/>
          <w:color w:val="000000" w:themeColor="text1"/>
          <w:sz w:val="24"/>
          <w:szCs w:val="24"/>
        </w:rPr>
        <w:t>rendelet 2. cikk (1) bekezdés 10. pont, 3. cikk b) pont, 64. cikk</w:t>
      </w:r>
    </w:p>
    <w:p w14:paraId="017F78C9"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p>
    <w:p w14:paraId="62478FE6" w14:textId="4DB16D60" w:rsidR="006F6DF3" w:rsidRDefault="006F6DF3" w:rsidP="006F6DF3">
      <w:pPr>
        <w:spacing w:after="0" w:line="240" w:lineRule="auto"/>
        <w:jc w:val="both"/>
        <w:rPr>
          <w:rFonts w:ascii="Times New Roman" w:hAnsi="Times New Roman" w:cs="Times New Roman"/>
          <w:i/>
          <w:color w:val="000000" w:themeColor="text1"/>
          <w:sz w:val="24"/>
          <w:szCs w:val="24"/>
        </w:rPr>
      </w:pPr>
      <w:r w:rsidRPr="000D259E">
        <w:rPr>
          <w:rFonts w:ascii="Times New Roman" w:hAnsi="Times New Roman" w:cs="Times New Roman"/>
          <w:i/>
          <w:color w:val="000000" w:themeColor="text1"/>
          <w:sz w:val="24"/>
          <w:szCs w:val="24"/>
        </w:rPr>
        <w:t>Címkék: tartási ügy; joghatóság a tartással kapcsolatos ügyekben; a tartásra jogosult szokásos tartózkodási helye szerinti bíróság; a tartásra jogosult jogaiba lépő közintézmény által indított visszkereset; tartásra jogosult</w:t>
      </w:r>
    </w:p>
    <w:p w14:paraId="2ABDE440" w14:textId="51EA4610" w:rsidR="006F6DF3" w:rsidRDefault="006F6DF3" w:rsidP="006F6DF3">
      <w:pPr>
        <w:spacing w:after="0" w:line="240" w:lineRule="auto"/>
        <w:jc w:val="both"/>
        <w:rPr>
          <w:rFonts w:ascii="Times New Roman" w:hAnsi="Times New Roman" w:cs="Times New Roman"/>
          <w:i/>
          <w:color w:val="000000" w:themeColor="text1"/>
          <w:sz w:val="24"/>
          <w:szCs w:val="24"/>
        </w:rPr>
      </w:pPr>
    </w:p>
    <w:p w14:paraId="34832783" w14:textId="77777777" w:rsidR="006F6DF3" w:rsidRPr="00493BFE" w:rsidRDefault="006F6DF3" w:rsidP="006F6DF3">
      <w:pPr>
        <w:spacing w:after="0" w:line="240" w:lineRule="auto"/>
        <w:jc w:val="center"/>
        <w:rPr>
          <w:rFonts w:ascii="Times New Roman" w:hAnsi="Times New Roman" w:cs="Times New Roman"/>
          <w:i/>
          <w:iCs/>
          <w:color w:val="000000" w:themeColor="text1"/>
          <w:sz w:val="24"/>
          <w:szCs w:val="24"/>
        </w:rPr>
      </w:pPr>
      <w:r w:rsidRPr="00493BFE">
        <w:rPr>
          <w:rFonts w:ascii="Times New Roman" w:hAnsi="Times New Roman" w:cs="Times New Roman"/>
          <w:b/>
          <w:i/>
          <w:iCs/>
          <w:color w:val="000000" w:themeColor="text1"/>
          <w:sz w:val="24"/>
          <w:szCs w:val="24"/>
        </w:rPr>
        <w:t>5. Az ítélet kritikája</w:t>
      </w:r>
    </w:p>
    <w:p w14:paraId="268F9FB0" w14:textId="77777777" w:rsidR="006F6DF3" w:rsidRPr="00493BFE" w:rsidRDefault="006F6DF3" w:rsidP="006F6DF3">
      <w:pPr>
        <w:spacing w:after="0" w:line="240" w:lineRule="auto"/>
        <w:jc w:val="center"/>
        <w:rPr>
          <w:rFonts w:ascii="Times New Roman" w:hAnsi="Times New Roman" w:cs="Times New Roman"/>
          <w:b/>
          <w:bCs/>
          <w:i/>
          <w:iCs/>
          <w:color w:val="000000" w:themeColor="text1"/>
          <w:sz w:val="24"/>
          <w:szCs w:val="24"/>
        </w:rPr>
      </w:pPr>
      <w:r w:rsidRPr="00493BFE">
        <w:rPr>
          <w:rFonts w:ascii="Times New Roman" w:hAnsi="Times New Roman" w:cs="Times New Roman"/>
          <w:b/>
          <w:bCs/>
          <w:i/>
          <w:iCs/>
          <w:color w:val="000000" w:themeColor="text1"/>
          <w:sz w:val="24"/>
          <w:szCs w:val="24"/>
        </w:rPr>
        <w:t>5.1. Bevezetés</w:t>
      </w:r>
    </w:p>
    <w:p w14:paraId="37CE3515" w14:textId="40968C43" w:rsidR="006F6DF3" w:rsidRPr="00FA7387" w:rsidRDefault="006F6DF3" w:rsidP="006F6DF3">
      <w:pPr>
        <w:spacing w:after="0" w:line="240" w:lineRule="auto"/>
        <w:jc w:val="both"/>
        <w:rPr>
          <w:rFonts w:ascii="Times New Roman" w:hAnsi="Times New Roman" w:cs="Times New Roman"/>
          <w:color w:val="000000" w:themeColor="text1"/>
          <w:sz w:val="24"/>
          <w:szCs w:val="24"/>
        </w:rPr>
      </w:pPr>
      <w:r w:rsidRPr="00FA7387">
        <w:rPr>
          <w:rFonts w:ascii="Times New Roman" w:hAnsi="Times New Roman" w:cs="Times New Roman"/>
          <w:color w:val="000000" w:themeColor="text1"/>
          <w:sz w:val="24"/>
          <w:szCs w:val="24"/>
        </w:rPr>
        <w:t>[45] Mindamellett, hogy az Európai Unió Bíróságának döntése mind jogelméleti, mind jogalkalmazási szempontból meggyőző, a jogeset elemzése során érdemes kitérni arra is, hogy mivel maradt adós az ítélet indokolása. Ennek kapcsán két kérdéskört érintek. Egyrészt az ítélet nyitva hagyja a közintézmény [4/2009/EK rendelet (14) preambulumbekezdés, 64. cikk] fogalmának értelmezését, noha ez az ügy alkalmas lehetett volna bizonyos támpontok nyújtására. Másrészt az ítélet egyáltalán nem reflektál az ügynek arra az aspektusára, hogy a perbelihez hasonló tagállami szabályozásban megjelenő törvényi engedménynek egyáltalán lehet-e kihatása az európai uniós joghatósági rendszerre.</w:t>
      </w:r>
    </w:p>
    <w:p w14:paraId="40754E43" w14:textId="77777777" w:rsidR="000C01D8" w:rsidRDefault="000C01D8" w:rsidP="006F6DF3">
      <w:pPr>
        <w:spacing w:after="0" w:line="240" w:lineRule="auto"/>
        <w:jc w:val="center"/>
        <w:rPr>
          <w:rFonts w:ascii="Times New Roman" w:hAnsi="Times New Roman" w:cs="Times New Roman"/>
          <w:b/>
          <w:bCs/>
          <w:i/>
          <w:color w:val="000000" w:themeColor="text1"/>
          <w:sz w:val="24"/>
          <w:szCs w:val="24"/>
        </w:rPr>
      </w:pPr>
      <w:bookmarkStart w:id="5" w:name="_Toc519836020"/>
    </w:p>
    <w:p w14:paraId="7CD73992" w14:textId="2A56011C" w:rsidR="006F6DF3" w:rsidRPr="00815D94" w:rsidRDefault="006F6DF3" w:rsidP="006F6DF3">
      <w:pPr>
        <w:spacing w:after="0" w:line="240" w:lineRule="auto"/>
        <w:jc w:val="center"/>
        <w:rPr>
          <w:rFonts w:ascii="Times New Roman" w:hAnsi="Times New Roman" w:cs="Times New Roman"/>
          <w:b/>
          <w:bCs/>
          <w:color w:val="000000" w:themeColor="text1"/>
          <w:sz w:val="24"/>
          <w:szCs w:val="24"/>
        </w:rPr>
      </w:pPr>
      <w:r w:rsidRPr="00815D94">
        <w:rPr>
          <w:rFonts w:ascii="Times New Roman" w:hAnsi="Times New Roman" w:cs="Times New Roman"/>
          <w:b/>
          <w:bCs/>
          <w:i/>
          <w:color w:val="000000" w:themeColor="text1"/>
          <w:sz w:val="24"/>
          <w:szCs w:val="24"/>
        </w:rPr>
        <w:lastRenderedPageBreak/>
        <w:t>5.2. A közintézmény fogalma</w:t>
      </w:r>
      <w:bookmarkEnd w:id="5"/>
    </w:p>
    <w:p w14:paraId="67C89929"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r w:rsidRPr="00FA7387">
        <w:rPr>
          <w:rFonts w:ascii="Times New Roman" w:hAnsi="Times New Roman" w:cs="Times New Roman"/>
          <w:color w:val="000000" w:themeColor="text1"/>
          <w:sz w:val="24"/>
          <w:szCs w:val="24"/>
        </w:rPr>
        <w:t xml:space="preserve">[46] A 4/2009/EK rendelet közintézményként, a 2007. évi hágai egyezmény állami szervként jelöli meg e speciális jogosultakat, azonban a két kifejezés </w:t>
      </w:r>
      <w:proofErr w:type="spellStart"/>
      <w:r w:rsidRPr="00FA7387">
        <w:rPr>
          <w:rFonts w:ascii="Times New Roman" w:hAnsi="Times New Roman" w:cs="Times New Roman"/>
          <w:color w:val="000000" w:themeColor="text1"/>
          <w:sz w:val="24"/>
          <w:szCs w:val="24"/>
        </w:rPr>
        <w:t>tartalmilag</w:t>
      </w:r>
      <w:proofErr w:type="spellEnd"/>
      <w:r w:rsidRPr="00FA7387">
        <w:rPr>
          <w:rFonts w:ascii="Times New Roman" w:hAnsi="Times New Roman" w:cs="Times New Roman"/>
          <w:color w:val="000000" w:themeColor="text1"/>
          <w:sz w:val="24"/>
          <w:szCs w:val="24"/>
        </w:rPr>
        <w:t xml:space="preserve"> ugyanazt takarja.</w:t>
      </w:r>
      <w:r w:rsidRPr="00FA7387">
        <w:rPr>
          <w:rStyle w:val="Lbjegyzet-hivatkozs"/>
          <w:rFonts w:ascii="Times New Roman" w:hAnsi="Times New Roman" w:cs="Times New Roman"/>
          <w:color w:val="000000" w:themeColor="text1"/>
          <w:sz w:val="24"/>
          <w:szCs w:val="24"/>
        </w:rPr>
        <w:footnoteReference w:id="12"/>
      </w:r>
      <w:r w:rsidRPr="00FA7387">
        <w:rPr>
          <w:rFonts w:ascii="Times New Roman" w:hAnsi="Times New Roman" w:cs="Times New Roman"/>
          <w:color w:val="000000" w:themeColor="text1"/>
          <w:sz w:val="24"/>
          <w:szCs w:val="24"/>
        </w:rPr>
        <w:t xml:space="preserve"> A fogalmat először az 1973. évi hágai végrehajtási egyezmény használta anélkül, hogy azt definiálta volna. Sem a 4/2009/EK rendelet, sem a 2007. évi hágai egyezmény nem ad precíz fogalommeghatározást a közintézményekre. A 4/2009/EK rendelet preambuluma annyiban visz közelebb a fogalom tartalmát illetően, hogy kimondja: „Helyénvaló e rendeletben arról is rendelkezni, hogy a </w:t>
      </w:r>
      <w:r w:rsidRPr="00815D94">
        <w:rPr>
          <w:rFonts w:ascii="Times New Roman" w:hAnsi="Times New Roman" w:cs="Times New Roman"/>
          <w:color w:val="000000" w:themeColor="text1"/>
          <w:sz w:val="24"/>
          <w:szCs w:val="24"/>
        </w:rPr>
        <w:t>»</w:t>
      </w:r>
      <w:r w:rsidRPr="00FA7387">
        <w:rPr>
          <w:rFonts w:ascii="Times New Roman" w:hAnsi="Times New Roman" w:cs="Times New Roman"/>
          <w:color w:val="000000" w:themeColor="text1"/>
          <w:sz w:val="24"/>
          <w:szCs w:val="24"/>
        </w:rPr>
        <w:t>jogosult</w:t>
      </w:r>
      <w:r w:rsidRPr="00815D94">
        <w:rPr>
          <w:rFonts w:ascii="Times New Roman" w:hAnsi="Times New Roman" w:cs="Times New Roman"/>
          <w:color w:val="000000" w:themeColor="text1"/>
          <w:sz w:val="24"/>
          <w:szCs w:val="24"/>
        </w:rPr>
        <w:t>«</w:t>
      </w:r>
      <w:r w:rsidRPr="00FA7387">
        <w:rPr>
          <w:rFonts w:ascii="Times New Roman" w:hAnsi="Times New Roman" w:cs="Times New Roman"/>
          <w:color w:val="000000" w:themeColor="text1"/>
          <w:sz w:val="24"/>
          <w:szCs w:val="24"/>
        </w:rPr>
        <w:t xml:space="preserve"> kifejezés azokat a közintézményeket is magában foglalja, amelyeknek a tartási kötelezettségre vonatkozó határozat elismerése és végrehajtása iránti kérelem céljából jogukban áll a tartásra jogosult személy helyett eljárni, vagy tartás címén a jogosultnak nyújtott ellátások után visszatérítést követelni.”</w:t>
      </w:r>
      <w:r w:rsidRPr="00FA7387">
        <w:rPr>
          <w:rStyle w:val="Lbjegyzet-hivatkozs"/>
          <w:rFonts w:ascii="Times New Roman" w:hAnsi="Times New Roman" w:cs="Times New Roman"/>
          <w:color w:val="000000" w:themeColor="text1"/>
          <w:sz w:val="24"/>
          <w:szCs w:val="24"/>
        </w:rPr>
        <w:footnoteReference w:id="13"/>
      </w:r>
    </w:p>
    <w:p w14:paraId="15A8B54E"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r w:rsidRPr="00FA7387">
        <w:rPr>
          <w:rFonts w:ascii="Times New Roman" w:hAnsi="Times New Roman" w:cs="Times New Roman"/>
          <w:color w:val="000000" w:themeColor="text1"/>
          <w:sz w:val="24"/>
          <w:szCs w:val="24"/>
        </w:rPr>
        <w:t>[47] A 4/2009/EK rendelet és a 2007. évi hágai egyezmény alapján a közintézmény kétféle típusa különíthető el. Az egyik típus a tartásra jogosult személy helyett jogosult eljárni a tartási igény érvényesítése érdekében, ilyen például a tartási követeléseket behajtó holland nemzeti iroda (</w:t>
      </w:r>
      <w:proofErr w:type="spellStart"/>
      <w:r w:rsidRPr="00FA7387">
        <w:rPr>
          <w:rFonts w:ascii="Times New Roman" w:hAnsi="Times New Roman" w:cs="Times New Roman"/>
          <w:i/>
          <w:color w:val="000000" w:themeColor="text1"/>
          <w:sz w:val="24"/>
          <w:szCs w:val="24"/>
        </w:rPr>
        <w:t>Landelijk</w:t>
      </w:r>
      <w:proofErr w:type="spellEnd"/>
      <w:r w:rsidRPr="00FA7387">
        <w:rPr>
          <w:rFonts w:ascii="Times New Roman" w:hAnsi="Times New Roman" w:cs="Times New Roman"/>
          <w:i/>
          <w:color w:val="000000" w:themeColor="text1"/>
          <w:sz w:val="24"/>
          <w:szCs w:val="24"/>
        </w:rPr>
        <w:t xml:space="preserve"> </w:t>
      </w:r>
      <w:proofErr w:type="spellStart"/>
      <w:r w:rsidRPr="00FA7387">
        <w:rPr>
          <w:rFonts w:ascii="Times New Roman" w:hAnsi="Times New Roman" w:cs="Times New Roman"/>
          <w:i/>
          <w:color w:val="000000" w:themeColor="text1"/>
          <w:sz w:val="24"/>
          <w:szCs w:val="24"/>
        </w:rPr>
        <w:t>Bureau</w:t>
      </w:r>
      <w:proofErr w:type="spellEnd"/>
      <w:r w:rsidRPr="00FA7387">
        <w:rPr>
          <w:rFonts w:ascii="Times New Roman" w:hAnsi="Times New Roman" w:cs="Times New Roman"/>
          <w:i/>
          <w:color w:val="000000" w:themeColor="text1"/>
          <w:sz w:val="24"/>
          <w:szCs w:val="24"/>
        </w:rPr>
        <w:t xml:space="preserve"> Inning </w:t>
      </w:r>
      <w:proofErr w:type="spellStart"/>
      <w:r w:rsidRPr="00FA7387">
        <w:rPr>
          <w:rFonts w:ascii="Times New Roman" w:hAnsi="Times New Roman" w:cs="Times New Roman"/>
          <w:i/>
          <w:color w:val="000000" w:themeColor="text1"/>
          <w:sz w:val="24"/>
          <w:szCs w:val="24"/>
        </w:rPr>
        <w:t>Onderhoudsbijdragen</w:t>
      </w:r>
      <w:proofErr w:type="spellEnd"/>
      <w:r w:rsidRPr="00FA7387">
        <w:rPr>
          <w:rFonts w:ascii="Times New Roman" w:hAnsi="Times New Roman" w:cs="Times New Roman"/>
          <w:i/>
          <w:color w:val="000000" w:themeColor="text1"/>
          <w:sz w:val="24"/>
          <w:szCs w:val="24"/>
        </w:rPr>
        <w:t>; LBIO</w:t>
      </w:r>
      <w:r w:rsidRPr="00FA7387">
        <w:rPr>
          <w:rFonts w:ascii="Times New Roman" w:hAnsi="Times New Roman" w:cs="Times New Roman"/>
          <w:color w:val="000000" w:themeColor="text1"/>
          <w:sz w:val="24"/>
          <w:szCs w:val="24"/>
        </w:rPr>
        <w:t>).</w:t>
      </w:r>
      <w:r w:rsidRPr="00FA7387">
        <w:rPr>
          <w:rStyle w:val="Lbjegyzet-hivatkozs"/>
          <w:rFonts w:ascii="Times New Roman" w:hAnsi="Times New Roman" w:cs="Times New Roman"/>
          <w:color w:val="000000" w:themeColor="text1"/>
          <w:sz w:val="24"/>
          <w:szCs w:val="24"/>
        </w:rPr>
        <w:footnoteReference w:id="14"/>
      </w:r>
      <w:r w:rsidRPr="00FA7387">
        <w:rPr>
          <w:rFonts w:ascii="Times New Roman" w:hAnsi="Times New Roman" w:cs="Times New Roman"/>
          <w:color w:val="000000" w:themeColor="text1"/>
          <w:sz w:val="24"/>
          <w:szCs w:val="24"/>
        </w:rPr>
        <w:t xml:space="preserve"> A közintézmények másik változatát képviselik azok a szervezetek, amelyek a jogosult részére tartás címén a kötelezett helyett nyújtott ellátások megtérítése érdekében fordulnak a tartásra köteles személlyel szemben. Példának okáért ebbe a körbe tartoznak a finn, a német vagy a magyar gyámhatóságok, avagy a dán állam. A két típus között az az alapvető különbség, hogy az előbbi a tartásra jogosult helyett képviselőként lép fel, az igény érvényesítője tehát maga a jogosult, az utóbbi esetben viszont a közintézmény törvényi engedmény (</w:t>
      </w:r>
      <w:proofErr w:type="spellStart"/>
      <w:r w:rsidRPr="00FA7387">
        <w:rPr>
          <w:rFonts w:ascii="Times New Roman" w:hAnsi="Times New Roman" w:cs="Times New Roman"/>
          <w:i/>
          <w:color w:val="000000" w:themeColor="text1"/>
          <w:sz w:val="24"/>
          <w:szCs w:val="24"/>
        </w:rPr>
        <w:t>cessio</w:t>
      </w:r>
      <w:proofErr w:type="spellEnd"/>
      <w:r w:rsidRPr="00FA7387">
        <w:rPr>
          <w:rFonts w:ascii="Times New Roman" w:hAnsi="Times New Roman" w:cs="Times New Roman"/>
          <w:i/>
          <w:color w:val="000000" w:themeColor="text1"/>
          <w:sz w:val="24"/>
          <w:szCs w:val="24"/>
        </w:rPr>
        <w:t xml:space="preserve"> </w:t>
      </w:r>
      <w:proofErr w:type="spellStart"/>
      <w:r w:rsidRPr="00FA7387">
        <w:rPr>
          <w:rFonts w:ascii="Times New Roman" w:hAnsi="Times New Roman" w:cs="Times New Roman"/>
          <w:i/>
          <w:color w:val="000000" w:themeColor="text1"/>
          <w:sz w:val="24"/>
          <w:szCs w:val="24"/>
        </w:rPr>
        <w:t>legis</w:t>
      </w:r>
      <w:proofErr w:type="spellEnd"/>
      <w:r w:rsidRPr="00FA7387">
        <w:rPr>
          <w:rFonts w:ascii="Times New Roman" w:hAnsi="Times New Roman" w:cs="Times New Roman"/>
          <w:color w:val="000000" w:themeColor="text1"/>
          <w:sz w:val="24"/>
          <w:szCs w:val="24"/>
        </w:rPr>
        <w:t>) alapján a tartási igényt önállóan érvényesíti</w:t>
      </w:r>
      <w:r>
        <w:rPr>
          <w:rFonts w:ascii="Times New Roman" w:hAnsi="Times New Roman" w:cs="Times New Roman"/>
          <w:color w:val="000000" w:themeColor="text1"/>
          <w:sz w:val="24"/>
          <w:szCs w:val="24"/>
        </w:rPr>
        <w:t>,</w:t>
      </w:r>
      <w:r w:rsidRPr="00FA7387">
        <w:rPr>
          <w:rFonts w:ascii="Times New Roman" w:hAnsi="Times New Roman" w:cs="Times New Roman"/>
          <w:color w:val="000000" w:themeColor="text1"/>
          <w:sz w:val="24"/>
          <w:szCs w:val="24"/>
        </w:rPr>
        <w:t xml:space="preserve"> anélkül azonban, hogy az igénynek anyagi jogi jogosultja lenne.</w:t>
      </w:r>
      <w:r w:rsidRPr="00FA7387">
        <w:rPr>
          <w:rStyle w:val="Lbjegyzet-hivatkozs"/>
          <w:rFonts w:ascii="Times New Roman" w:hAnsi="Times New Roman" w:cs="Times New Roman"/>
          <w:color w:val="000000" w:themeColor="text1"/>
          <w:sz w:val="24"/>
          <w:szCs w:val="24"/>
        </w:rPr>
        <w:footnoteReference w:id="15"/>
      </w:r>
    </w:p>
    <w:p w14:paraId="04402B09" w14:textId="77777777" w:rsidR="006F6DF3" w:rsidRPr="00FA7387" w:rsidRDefault="006F6DF3" w:rsidP="006F6DF3">
      <w:pPr>
        <w:spacing w:after="0" w:line="240" w:lineRule="auto"/>
        <w:jc w:val="both"/>
        <w:rPr>
          <w:rFonts w:ascii="Times New Roman" w:hAnsi="Times New Roman" w:cs="Times New Roman"/>
          <w:color w:val="000000" w:themeColor="text1"/>
          <w:sz w:val="24"/>
          <w:szCs w:val="24"/>
        </w:rPr>
      </w:pPr>
      <w:r w:rsidRPr="00FA7387">
        <w:rPr>
          <w:rFonts w:ascii="Times New Roman" w:hAnsi="Times New Roman" w:cs="Times New Roman"/>
          <w:color w:val="000000" w:themeColor="text1"/>
          <w:sz w:val="24"/>
          <w:szCs w:val="24"/>
        </w:rPr>
        <w:t xml:space="preserve">[48] A </w:t>
      </w:r>
      <w:proofErr w:type="spellStart"/>
      <w:r w:rsidRPr="00FA7387">
        <w:rPr>
          <w:rFonts w:ascii="Times New Roman" w:hAnsi="Times New Roman" w:cs="Times New Roman"/>
          <w:color w:val="000000" w:themeColor="text1"/>
          <w:sz w:val="24"/>
          <w:szCs w:val="24"/>
        </w:rPr>
        <w:t>Landkreis</w:t>
      </w:r>
      <w:proofErr w:type="spellEnd"/>
      <w:r w:rsidRPr="00FA7387">
        <w:rPr>
          <w:rFonts w:ascii="Times New Roman" w:hAnsi="Times New Roman" w:cs="Times New Roman"/>
          <w:color w:val="000000" w:themeColor="text1"/>
          <w:sz w:val="24"/>
          <w:szCs w:val="24"/>
        </w:rPr>
        <w:t xml:space="preserve"> </w:t>
      </w:r>
      <w:proofErr w:type="spellStart"/>
      <w:r w:rsidRPr="00FA7387">
        <w:rPr>
          <w:rFonts w:ascii="Times New Roman" w:hAnsi="Times New Roman" w:cs="Times New Roman"/>
          <w:color w:val="000000" w:themeColor="text1"/>
          <w:sz w:val="24"/>
          <w:szCs w:val="24"/>
        </w:rPr>
        <w:t>Harburg</w:t>
      </w:r>
      <w:proofErr w:type="spellEnd"/>
      <w:r w:rsidRPr="00FA7387">
        <w:rPr>
          <w:rFonts w:ascii="Times New Roman" w:hAnsi="Times New Roman" w:cs="Times New Roman"/>
          <w:color w:val="000000" w:themeColor="text1"/>
          <w:sz w:val="24"/>
          <w:szCs w:val="24"/>
        </w:rPr>
        <w:t xml:space="preserve"> ítéletben kézenfekvő lett volna a közintézmény fogalmának, alapvető jellemzőinek körülírása, az ítélet azonban erről hallgat.</w:t>
      </w:r>
    </w:p>
    <w:p w14:paraId="238EB359" w14:textId="57ABFBA4" w:rsidR="006F6DF3" w:rsidRDefault="006F6DF3" w:rsidP="006F6DF3">
      <w:pPr>
        <w:spacing w:after="0" w:line="240" w:lineRule="auto"/>
        <w:jc w:val="both"/>
        <w:rPr>
          <w:rFonts w:ascii="Times New Roman" w:hAnsi="Times New Roman" w:cs="Times New Roman"/>
          <w:color w:val="000000" w:themeColor="text1"/>
          <w:sz w:val="24"/>
          <w:szCs w:val="24"/>
        </w:rPr>
      </w:pPr>
      <w:r w:rsidRPr="00FA7387">
        <w:rPr>
          <w:rFonts w:ascii="Times New Roman" w:hAnsi="Times New Roman" w:cs="Times New Roman"/>
          <w:color w:val="000000" w:themeColor="text1"/>
          <w:sz w:val="24"/>
          <w:szCs w:val="24"/>
        </w:rPr>
        <w:t>[49] A jogirodalomban elérhető állásfoglalások szerint a közintézmény fogalmát tágan kell értelmezni.</w:t>
      </w:r>
      <w:r w:rsidRPr="00FA7387">
        <w:rPr>
          <w:rStyle w:val="Lbjegyzet-hivatkozs"/>
          <w:rFonts w:ascii="Times New Roman" w:hAnsi="Times New Roman" w:cs="Times New Roman"/>
          <w:color w:val="000000" w:themeColor="text1"/>
          <w:sz w:val="24"/>
          <w:szCs w:val="24"/>
        </w:rPr>
        <w:footnoteReference w:id="16"/>
      </w:r>
      <w:r w:rsidRPr="00FA7387">
        <w:rPr>
          <w:rFonts w:ascii="Times New Roman" w:hAnsi="Times New Roman" w:cs="Times New Roman"/>
          <w:color w:val="000000" w:themeColor="text1"/>
          <w:sz w:val="24"/>
          <w:szCs w:val="24"/>
        </w:rPr>
        <w:t xml:space="preserve"> A közintézménynek hatáskörrel kell rendelkeznie a tartási szolgáltatások nyújtására és/vagy a tartási ügyek intézésére; a hatáskör gyakorlásának az államra visszavezethetőnek, a tevékenységének államilag elismertnek és közfeladat jellegűnek kell lennie.</w:t>
      </w:r>
      <w:r w:rsidRPr="00FA7387">
        <w:rPr>
          <w:rStyle w:val="Lbjegyzet-hivatkozs"/>
          <w:rFonts w:ascii="Times New Roman" w:hAnsi="Times New Roman" w:cs="Times New Roman"/>
          <w:color w:val="000000" w:themeColor="text1"/>
          <w:sz w:val="24"/>
          <w:szCs w:val="24"/>
        </w:rPr>
        <w:footnoteReference w:id="17"/>
      </w:r>
    </w:p>
    <w:p w14:paraId="7BE1A10F" w14:textId="77777777" w:rsidR="000C01D8" w:rsidRPr="000C01D8" w:rsidRDefault="000C01D8" w:rsidP="006F6DF3">
      <w:pPr>
        <w:spacing w:after="0" w:line="240" w:lineRule="auto"/>
        <w:jc w:val="both"/>
        <w:rPr>
          <w:rFonts w:ascii="Times New Roman" w:hAnsi="Times New Roman" w:cs="Times New Roman"/>
          <w:color w:val="000000" w:themeColor="text1"/>
          <w:sz w:val="24"/>
          <w:szCs w:val="24"/>
        </w:rPr>
      </w:pPr>
    </w:p>
    <w:p w14:paraId="67E504FD" w14:textId="77777777" w:rsidR="003579BF" w:rsidRDefault="006F6DF3" w:rsidP="006F6DF3">
      <w:pPr>
        <w:spacing w:after="0" w:line="240" w:lineRule="auto"/>
        <w:jc w:val="both"/>
        <w:rPr>
          <w:rFonts w:ascii="Times New Roman" w:hAnsi="Times New Roman" w:cs="Times New Roman"/>
          <w:i/>
          <w:color w:val="000000" w:themeColor="text1"/>
          <w:sz w:val="24"/>
          <w:szCs w:val="24"/>
        </w:rPr>
        <w:sectPr w:rsidR="003579BF" w:rsidSect="00B92E7E">
          <w:footnotePr>
            <w:numRestart w:val="eachSect"/>
          </w:footnotePr>
          <w:pgSz w:w="11906" w:h="16838"/>
          <w:pgMar w:top="1417" w:right="1417" w:bottom="1417" w:left="1417" w:header="708" w:footer="708" w:gutter="0"/>
          <w:cols w:space="708"/>
        </w:sectPr>
      </w:pPr>
      <w:r w:rsidRPr="00FA7387">
        <w:rPr>
          <w:rFonts w:ascii="Times New Roman" w:hAnsi="Times New Roman" w:cs="Times New Roman"/>
          <w:i/>
          <w:color w:val="000000" w:themeColor="text1"/>
          <w:sz w:val="24"/>
          <w:szCs w:val="24"/>
        </w:rPr>
        <w:t>(Megjelent: EU Jog Online 2021/1</w:t>
      </w:r>
      <w:r>
        <w:rPr>
          <w:rFonts w:ascii="Times New Roman" w:hAnsi="Times New Roman" w:cs="Times New Roman"/>
          <w:i/>
          <w:color w:val="000000" w:themeColor="text1"/>
          <w:sz w:val="24"/>
          <w:szCs w:val="24"/>
        </w:rPr>
        <w:t>–</w:t>
      </w:r>
      <w:r w:rsidRPr="00FA7387">
        <w:rPr>
          <w:rFonts w:ascii="Times New Roman" w:hAnsi="Times New Roman" w:cs="Times New Roman"/>
          <w:i/>
          <w:color w:val="000000" w:themeColor="text1"/>
          <w:sz w:val="24"/>
          <w:szCs w:val="24"/>
        </w:rPr>
        <w:t>2. sz.)</w:t>
      </w:r>
    </w:p>
    <w:p w14:paraId="271B0A1A" w14:textId="2F41EBDB" w:rsidR="00684037" w:rsidRPr="006F6DF3" w:rsidRDefault="005B460D" w:rsidP="006F6DF3">
      <w:pPr>
        <w:spacing w:after="0" w:line="240" w:lineRule="auto"/>
        <w:jc w:val="both"/>
        <w:rPr>
          <w:rFonts w:ascii="Times New Roman" w:hAnsi="Times New Roman" w:cs="Times New Roman"/>
          <w:color w:val="000000" w:themeColor="text1"/>
          <w:sz w:val="24"/>
          <w:szCs w:val="24"/>
        </w:rPr>
      </w:pPr>
      <w:r>
        <w:rPr>
          <w:noProof/>
        </w:rPr>
        <w:lastRenderedPageBreak/>
        <mc:AlternateContent>
          <mc:Choice Requires="wps">
            <w:drawing>
              <wp:anchor distT="0" distB="0" distL="114300" distR="114300" simplePos="0" relativeHeight="251677696" behindDoc="0" locked="0" layoutInCell="1" allowOverlap="1" wp14:anchorId="0F020169" wp14:editId="2C0E2787">
                <wp:simplePos x="0" y="0"/>
                <wp:positionH relativeFrom="column">
                  <wp:posOffset>0</wp:posOffset>
                </wp:positionH>
                <wp:positionV relativeFrom="paragraph">
                  <wp:posOffset>76200</wp:posOffset>
                </wp:positionV>
                <wp:extent cx="5816600" cy="0"/>
                <wp:effectExtent l="0" t="0" r="12700" b="12700"/>
                <wp:wrapNone/>
                <wp:docPr id="10" name="Egyenes összekötő 10"/>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B74F5FB" id="Egyenes összekötő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6pt" to="4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" strokecolor="#4472c4 [3204]" strokeweight=".5pt">
                <v:stroke joinstyle="miter"/>
              </v:line>
            </w:pict>
          </mc:Fallback>
        </mc:AlternateContent>
      </w:r>
    </w:p>
    <w:p w14:paraId="56D3EA0E" w14:textId="10CDA7D8" w:rsidR="00B92E7E" w:rsidRDefault="00B92E7E" w:rsidP="003579BF">
      <w:pPr>
        <w:pStyle w:val="Default"/>
        <w:jc w:val="center"/>
        <w:rPr>
          <w:b/>
          <w:bCs/>
          <w:color w:val="FF0000"/>
        </w:rPr>
      </w:pPr>
      <w:r>
        <w:rPr>
          <w:b/>
          <w:bCs/>
          <w:color w:val="000000" w:themeColor="text1"/>
        </w:rPr>
        <w:t>4</w:t>
      </w:r>
      <w:r w:rsidRPr="00EF3A89">
        <w:rPr>
          <w:b/>
          <w:bCs/>
          <w:color w:val="000000" w:themeColor="text1"/>
        </w:rPr>
        <w:t xml:space="preserve">. </w:t>
      </w:r>
      <w:r>
        <w:rPr>
          <w:b/>
          <w:bCs/>
          <w:color w:val="FF0000"/>
        </w:rPr>
        <w:t>FÓRUM:</w:t>
      </w:r>
    </w:p>
    <w:p w14:paraId="1AC704BD" w14:textId="77777777" w:rsidR="00B92E7E" w:rsidRDefault="00B92E7E" w:rsidP="00B92E7E">
      <w:pPr>
        <w:pStyle w:val="Default"/>
        <w:jc w:val="center"/>
        <w:rPr>
          <w:b/>
          <w:bCs/>
        </w:rPr>
      </w:pPr>
    </w:p>
    <w:p w14:paraId="600D7E7B" w14:textId="77777777" w:rsidR="00B92E7E" w:rsidRPr="00235CC9"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lehetnek alcímek</w:t>
      </w:r>
    </w:p>
    <w:p w14:paraId="00BA1AE4" w14:textId="77777777" w:rsidR="00B92E7E" w:rsidRPr="00235CC9"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 alatt a bekezdésszámozás folyamatos</w:t>
      </w:r>
    </w:p>
    <w:p w14:paraId="7EA64702" w14:textId="77777777" w:rsidR="00B92E7E" w:rsidRPr="00235CC9"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alcímekhez többszintű decimális számozást is lehet használni</w:t>
      </w:r>
    </w:p>
    <w:p w14:paraId="4BFF220C" w14:textId="77777777" w:rsidR="00B92E7E"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–vannak lábjegyzetek – ezeknek a formátuma kötött, a mintában szereplő módon kell megjelenniük</w:t>
      </w:r>
      <w:r>
        <w:rPr>
          <w:rFonts w:ascii="Times New Roman" w:eastAsia="Times New Roman" w:hAnsi="Times New Roman" w:cs="Times New Roman"/>
          <w:bCs/>
          <w:sz w:val="24"/>
          <w:szCs w:val="24"/>
        </w:rPr>
        <w:t xml:space="preserve"> mind a döntvényeknek, mind a szakirodalmi hivatkozásoknak</w:t>
      </w:r>
    </w:p>
    <w:p w14:paraId="18462A5D" w14:textId="619918FF" w:rsidR="00B92E7E" w:rsidRPr="003579BF" w:rsidRDefault="003579BF" w:rsidP="003579BF">
      <w:pPr>
        <w:spacing w:after="0" w:line="240" w:lineRule="auto"/>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669504" behindDoc="0" locked="0" layoutInCell="1" allowOverlap="1" wp14:anchorId="2B8F4D0C" wp14:editId="0AD67D7F">
                <wp:simplePos x="0" y="0"/>
                <wp:positionH relativeFrom="column">
                  <wp:posOffset>0</wp:posOffset>
                </wp:positionH>
                <wp:positionV relativeFrom="paragraph">
                  <wp:posOffset>67099</wp:posOffset>
                </wp:positionV>
                <wp:extent cx="5816600" cy="0"/>
                <wp:effectExtent l="0" t="0" r="12700" b="12700"/>
                <wp:wrapNone/>
                <wp:docPr id="5" name="Egyenes összekötő 5"/>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C5F0DF8" id="Egyenes összekötő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3pt" to="4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" strokecolor="#4472c4 [3204]" strokeweight=".5pt">
                <v:stroke joinstyle="miter"/>
              </v:line>
            </w:pict>
          </mc:Fallback>
        </mc:AlternateContent>
      </w:r>
    </w:p>
    <w:p w14:paraId="40F0E544" w14:textId="7999B1C7" w:rsidR="00335766" w:rsidRPr="00F5154B" w:rsidRDefault="00335766" w:rsidP="00335766">
      <w:pPr>
        <w:pStyle w:val="Default"/>
        <w:jc w:val="center"/>
        <w:rPr>
          <w:b/>
        </w:rPr>
      </w:pPr>
      <w:r w:rsidRPr="00F5154B">
        <w:rPr>
          <w:b/>
        </w:rPr>
        <w:t>EU Jog Online 2021/1–2. – Fórum</w:t>
      </w:r>
    </w:p>
    <w:p w14:paraId="749838B1" w14:textId="77777777" w:rsidR="00335766" w:rsidRPr="00F5154B" w:rsidRDefault="00335766" w:rsidP="00335766">
      <w:pPr>
        <w:pStyle w:val="Default"/>
        <w:jc w:val="center"/>
        <w:rPr>
          <w:b/>
        </w:rPr>
      </w:pPr>
      <w:proofErr w:type="spellStart"/>
      <w:r w:rsidRPr="00F5154B">
        <w:rPr>
          <w:b/>
        </w:rPr>
        <w:t>Lehóczki</w:t>
      </w:r>
      <w:proofErr w:type="spellEnd"/>
      <w:r w:rsidRPr="00F5154B">
        <w:rPr>
          <w:b/>
        </w:rPr>
        <w:t xml:space="preserve"> Balázs:</w:t>
      </w:r>
      <w:r w:rsidRPr="00F5154B">
        <w:rPr>
          <w:b/>
          <w:vertAlign w:val="superscript"/>
        </w:rPr>
        <w:footnoteReference w:id="18"/>
      </w:r>
      <w:r w:rsidRPr="00F5154B">
        <w:rPr>
          <w:b/>
        </w:rPr>
        <w:t xml:space="preserve"> Az Európai Bíróság által lezárt magyar előzetes döntéshozatali ügyek</w:t>
      </w:r>
    </w:p>
    <w:p w14:paraId="0EC3DA16" w14:textId="77777777" w:rsidR="00335766" w:rsidRPr="00F5154B" w:rsidRDefault="00335766" w:rsidP="00335766">
      <w:pPr>
        <w:pStyle w:val="Default"/>
        <w:jc w:val="both"/>
        <w:rPr>
          <w:b/>
        </w:rPr>
      </w:pPr>
    </w:p>
    <w:p w14:paraId="0A92342B" w14:textId="77777777" w:rsidR="00335766" w:rsidRPr="00F5154B" w:rsidRDefault="00335766" w:rsidP="00335766">
      <w:pPr>
        <w:pStyle w:val="Default"/>
        <w:rPr>
          <w:bCs/>
          <w:i/>
          <w:iCs/>
        </w:rPr>
      </w:pPr>
      <w:r w:rsidRPr="00F5154B">
        <w:rPr>
          <w:bCs/>
          <w:i/>
          <w:iCs/>
        </w:rPr>
        <w:t>Címkék: előzetes döntéshozatali eljárás, magyar ügyek az Európai Unió Bírósága előtt</w:t>
      </w:r>
    </w:p>
    <w:p w14:paraId="25E8159D" w14:textId="77777777" w:rsidR="00335766" w:rsidRPr="00F5154B" w:rsidRDefault="00335766" w:rsidP="00335766">
      <w:pPr>
        <w:pStyle w:val="Default"/>
      </w:pPr>
    </w:p>
    <w:p w14:paraId="5391E028" w14:textId="77777777" w:rsidR="00335766" w:rsidRPr="00F5154B" w:rsidRDefault="00335766" w:rsidP="008A4AFB">
      <w:pPr>
        <w:pStyle w:val="Default"/>
        <w:jc w:val="both"/>
      </w:pPr>
      <w:r w:rsidRPr="00F5154B">
        <w:t>[1] Ezen összefoglaló célja az Európai Unió Bírósága (a továbbiakban: Bíróság) által Magyarországnak az Európai Unióhoz történő csatlakozása, azaz 2004. május 1-je óta ítélettel lezárt azon előzetes döntéshozatali ügyek bemutatása, amelyeket magyar bíróságok kezdeményeztek a luxembourgi székhelyű testület előtt. Az anyag tehát nem tartalmazza a végzéssel lezárt ügyeket, akkor sem, ha az adott végzés érdemi jellegű volt. Az egyes összefoglalók az érintett ügyek ténybeli és jogi hátterének, a felmerült jogi problémának, valamint a Bíróság döntésének tömör ismertetéséből állnak úgy, hogy főszabály szerint a Bíróság döntésének csak a legfontosabb vezérgondolatai kerülnek bemutatásra az azokat alátámasztó indokolás ismertetése nélkül. Minden összefoglaló előtt feltüntetésre kerül az adott ügy száma, neve, az utaló bíróság megnevezése, az előzetes döntéshozatal iránti kérelem beérkezésének dátuma, valamint a témakör vagy az ügyben eldöntendő fő kérdés.</w:t>
      </w:r>
    </w:p>
    <w:p w14:paraId="1E513A3F" w14:textId="77777777" w:rsidR="00335766" w:rsidRPr="00F5154B" w:rsidRDefault="00335766" w:rsidP="008A4AFB">
      <w:pPr>
        <w:pStyle w:val="Default"/>
        <w:jc w:val="both"/>
        <w:rPr>
          <w:b/>
        </w:rPr>
      </w:pPr>
    </w:p>
    <w:p w14:paraId="2D3442F4" w14:textId="77777777" w:rsidR="00335766" w:rsidRPr="00F5154B" w:rsidRDefault="00335766" w:rsidP="008A4AFB">
      <w:pPr>
        <w:pStyle w:val="Default"/>
        <w:jc w:val="both"/>
        <w:rPr>
          <w:b/>
          <w:bCs/>
          <w:i/>
          <w:iCs/>
        </w:rPr>
      </w:pPr>
      <w:r w:rsidRPr="00F5154B">
        <w:rPr>
          <w:b/>
          <w:bCs/>
          <w:i/>
          <w:iCs/>
        </w:rPr>
        <w:t xml:space="preserve">1. C-302/04 </w:t>
      </w:r>
      <w:proofErr w:type="spellStart"/>
      <w:r w:rsidRPr="00F5154B">
        <w:rPr>
          <w:b/>
          <w:bCs/>
          <w:i/>
          <w:iCs/>
        </w:rPr>
        <w:t>Ynos</w:t>
      </w:r>
      <w:proofErr w:type="spellEnd"/>
      <w:r w:rsidRPr="00F5154B">
        <w:rPr>
          <w:b/>
          <w:bCs/>
          <w:i/>
          <w:iCs/>
        </w:rPr>
        <w:t xml:space="preserve"> / Szombathelyi Városi Bíróság / 2004. július 14. / Fogyasztóvédelem</w:t>
      </w:r>
    </w:p>
    <w:p w14:paraId="48F949BB" w14:textId="77777777" w:rsidR="00335766" w:rsidRPr="00F5154B" w:rsidRDefault="00335766" w:rsidP="008A4AFB">
      <w:pPr>
        <w:pStyle w:val="Default"/>
        <w:jc w:val="both"/>
      </w:pPr>
      <w:r w:rsidRPr="00F5154B">
        <w:t xml:space="preserve">[2] Egy építési vállalkozó 2002 januárjában egy üzletház eladása céljából ingatlanközvetítési szerződést kötött az </w:t>
      </w:r>
      <w:proofErr w:type="spellStart"/>
      <w:r w:rsidRPr="00F5154B">
        <w:t>Ynos</w:t>
      </w:r>
      <w:proofErr w:type="spellEnd"/>
      <w:r w:rsidRPr="00F5154B">
        <w:t xml:space="preserve"> nevű ingatlanügynökséggel. A szerződés egy az </w:t>
      </w:r>
      <w:proofErr w:type="spellStart"/>
      <w:r w:rsidRPr="00F5154B">
        <w:t>Ynos</w:t>
      </w:r>
      <w:proofErr w:type="spellEnd"/>
      <w:r w:rsidRPr="00F5154B">
        <w:t xml:space="preserve"> által rendelkezésre bocsátott szerződésminta alapján készült, amelynek tartalmát a felek egyedileg nem tárgyalták meg. A szerződés szerint a közvetítés akkor tekinthető sikeresnek, ha az </w:t>
      </w:r>
      <w:proofErr w:type="spellStart"/>
      <w:r w:rsidRPr="00F5154B">
        <w:t>Ynos</w:t>
      </w:r>
      <w:proofErr w:type="spellEnd"/>
      <w:r w:rsidRPr="00F5154B">
        <w:t xml:space="preserve"> által közvetített felek között szerződéskötésre kerül sor; a közvetítőt azonban akkor is megilleti a közvetítési díj, ha az ingatlanra valamely ügyfél legalább a közvetítési szerződésben feltüntetett eladási vagy bérleti áron írásbeli ajánlatot tesz, de azt a tulajdonos elutasítaná.</w:t>
      </w:r>
    </w:p>
    <w:p w14:paraId="1E8E6287" w14:textId="77777777" w:rsidR="00335766" w:rsidRPr="00F5154B" w:rsidRDefault="00335766" w:rsidP="008A4AFB">
      <w:pPr>
        <w:pStyle w:val="Default"/>
        <w:jc w:val="both"/>
      </w:pPr>
      <w:r w:rsidRPr="00F5154B">
        <w:t xml:space="preserve">[3] 2002. március 11-én az </w:t>
      </w:r>
      <w:proofErr w:type="spellStart"/>
      <w:r w:rsidRPr="00F5154B">
        <w:t>Ynos</w:t>
      </w:r>
      <w:proofErr w:type="spellEnd"/>
      <w:r w:rsidRPr="00F5154B">
        <w:t xml:space="preserve"> ügyvezetői, az építési vállalkozó és egy potenciális vevő aláírtak egy „elvi megállapodás szerződéskötésre” című okiratot, amelyben rögzítették az eladási árat, és megállapodtak abban, hogy 2002. március 15-ig adásvételi szerződést vagy előszerződést kötnek. A megjelölt időpontig azonban sem végleges adásvételi szerződés, sem előszerződés nem jött létre. Ennek ellenére az </w:t>
      </w:r>
      <w:proofErr w:type="spellStart"/>
      <w:r w:rsidRPr="00F5154B">
        <w:t>Ynos</w:t>
      </w:r>
      <w:proofErr w:type="spellEnd"/>
      <w:r w:rsidRPr="00F5154B">
        <w:t xml:space="preserve"> úgy ítélte meg, hogy közvetítése sikeres volt, és ezért igényt tartott a kialkudott megbízási díjra. Mivel a díj kifizetése nem történt meg, az </w:t>
      </w:r>
      <w:proofErr w:type="spellStart"/>
      <w:r w:rsidRPr="00F5154B">
        <w:t>Ynos</w:t>
      </w:r>
      <w:proofErr w:type="spellEnd"/>
      <w:r w:rsidRPr="00F5154B">
        <w:t xml:space="preserve"> a Szombathelyi Városi Bírósághoz fordult.</w:t>
      </w:r>
    </w:p>
    <w:p w14:paraId="5766957B" w14:textId="77777777" w:rsidR="00335766" w:rsidRPr="00F5154B" w:rsidRDefault="00335766" w:rsidP="008A4AFB">
      <w:pPr>
        <w:pStyle w:val="Default"/>
        <w:jc w:val="both"/>
      </w:pPr>
      <w:r w:rsidRPr="00F5154B">
        <w:t xml:space="preserve">[4] A bíróság előtt az építési vállalkozó többek között arra hivatkozott, hogy a közvetítési szerződés azon kikötése (a tulajdonos által visszautasított megfelelő vételár esetén is járó közvetítői díj), amelyen az </w:t>
      </w:r>
      <w:proofErr w:type="spellStart"/>
      <w:r w:rsidRPr="00F5154B">
        <w:t>Ynos</w:t>
      </w:r>
      <w:proofErr w:type="spellEnd"/>
      <w:r w:rsidRPr="00F5154B">
        <w:t xml:space="preserve"> követelése alapul, tisztességtelen feltételnek minősül, következésképpen a követelt megbízási díjra az </w:t>
      </w:r>
      <w:proofErr w:type="spellStart"/>
      <w:r w:rsidRPr="00F5154B">
        <w:t>Ynos</w:t>
      </w:r>
      <w:proofErr w:type="spellEnd"/>
      <w:r w:rsidRPr="00F5154B">
        <w:t xml:space="preserve"> nem jogosult. E jogvitával összefüggésben a magyar bíróság annak a megvizsgálását kérte az Európai Bíróságtól, hogy a Polgári Törvénykönyvnek (1959. évi IV. törvény, a továbbiakban: 1959-es Ptk.) a tisztességtelen szerződési feltételekre vonatkozó egyes rendelkezései összhangban vannak-e az </w:t>
      </w:r>
      <w:r w:rsidRPr="00F5154B">
        <w:lastRenderedPageBreak/>
        <w:t>uniós fogyasztóvédelmi joggal, amely szerint a fogyasztókkal szemben kikötött tisztességtelen szerződési feltételek semmisek (míg az 1959-es Ptk. szerint az ilyen feltételek csak megtámadhatóak voltak).</w:t>
      </w:r>
    </w:p>
    <w:p w14:paraId="1581719E" w14:textId="77777777" w:rsidR="00335766" w:rsidRPr="00F5154B" w:rsidRDefault="00335766" w:rsidP="008A4AFB">
      <w:pPr>
        <w:pStyle w:val="Default"/>
        <w:jc w:val="both"/>
      </w:pPr>
      <w:r w:rsidRPr="00F5154B">
        <w:t>[5] 2006. január 10-én meghozott ítéletében az Európai Bíróság a hatáskörének hiányát állapította meg a szombathelyi bíróság által feltett kérdések megválaszolására, mivel az alapügy tényállása a Magyar Köztársaság Európai Unióhoz történt csatlakozása előtt keletkezett.</w:t>
      </w:r>
    </w:p>
    <w:p w14:paraId="21F07D63" w14:textId="77777777" w:rsidR="00335766" w:rsidRPr="00F5154B" w:rsidRDefault="00335766" w:rsidP="008A4AFB">
      <w:pPr>
        <w:pStyle w:val="Default"/>
        <w:jc w:val="both"/>
      </w:pPr>
    </w:p>
    <w:p w14:paraId="22070147" w14:textId="77777777" w:rsidR="00335766" w:rsidRPr="00F5154B" w:rsidRDefault="00335766" w:rsidP="008A4AFB">
      <w:pPr>
        <w:pStyle w:val="Default"/>
        <w:jc w:val="both"/>
        <w:rPr>
          <w:b/>
          <w:bCs/>
          <w:i/>
          <w:iCs/>
        </w:rPr>
      </w:pPr>
      <w:r w:rsidRPr="00F5154B">
        <w:rPr>
          <w:b/>
          <w:bCs/>
          <w:i/>
          <w:iCs/>
        </w:rPr>
        <w:t xml:space="preserve">2. C-290/05 </w:t>
      </w:r>
      <w:proofErr w:type="spellStart"/>
      <w:r w:rsidRPr="00F5154B">
        <w:rPr>
          <w:b/>
          <w:bCs/>
          <w:i/>
          <w:iCs/>
        </w:rPr>
        <w:t>Nádasdi</w:t>
      </w:r>
      <w:proofErr w:type="spellEnd"/>
      <w:r w:rsidRPr="00F5154B">
        <w:rPr>
          <w:b/>
          <w:bCs/>
          <w:i/>
          <w:iCs/>
        </w:rPr>
        <w:t xml:space="preserve"> &amp; C-333/05 Németh egyesített ügyek / Hajdú-Bihar Megyei Bíróság &amp; Bács-Kiskun Megyei Bíróság / 2005. július 19. &amp; 2005. szeptember 14. / Adózás</w:t>
      </w:r>
    </w:p>
    <w:p w14:paraId="01C8D11F" w14:textId="77777777" w:rsidR="00335766" w:rsidRPr="00F5154B" w:rsidRDefault="00335766" w:rsidP="008A4AFB">
      <w:pPr>
        <w:pStyle w:val="Default"/>
        <w:jc w:val="both"/>
      </w:pPr>
      <w:r w:rsidRPr="00F5154B">
        <w:t>[6] Magyarországon regisztrációs adót kell fizetni a belföldön forgalomba helyezendő személygépkocsik után. Az adó mértéke a károsanyag-kibocsátás, az üzemanyag típusa és a motor hengerűrtartalma alapján kerül meghatározásra, és nem függ attól, hogy új vagy használt személygépkocsiról van szó, valamint nem tükrözi a használt személygépkocsik értékének csökkenését.</w:t>
      </w:r>
    </w:p>
    <w:p w14:paraId="100B3AF3" w14:textId="77777777" w:rsidR="00335766" w:rsidRPr="00F5154B" w:rsidRDefault="00335766" w:rsidP="008A4AFB">
      <w:pPr>
        <w:pStyle w:val="Default"/>
        <w:jc w:val="both"/>
      </w:pPr>
      <w:r w:rsidRPr="00F5154B">
        <w:t xml:space="preserve">[7] Azt követően, hogy </w:t>
      </w:r>
      <w:proofErr w:type="spellStart"/>
      <w:r w:rsidRPr="00F5154B">
        <w:t>Nádasdi</w:t>
      </w:r>
      <w:proofErr w:type="spellEnd"/>
      <w:r w:rsidRPr="00F5154B">
        <w:t xml:space="preserve"> Á. (C-290/05. sz. ügy) használt személygépkocsit vásárolt Németországban, megfizette a személygépkocsinak Magyarországra történő behozatala után a magyarországi regisztrációs adót, amelynek összegét utólag felemelték. </w:t>
      </w:r>
      <w:proofErr w:type="spellStart"/>
      <w:r w:rsidRPr="00F5154B">
        <w:t>Nádasdi</w:t>
      </w:r>
      <w:proofErr w:type="spellEnd"/>
      <w:r w:rsidRPr="00F5154B">
        <w:t xml:space="preserve"> Á. keresetet nyújtott be a magyar vámhatóság ezen, a regisztrációs adó összegét módosító határozata ellen, amelyben kérte az adó összege felemelésének bírósági felülvizsgálatát.</w:t>
      </w:r>
    </w:p>
    <w:p w14:paraId="19E147F6" w14:textId="77777777" w:rsidR="00335766" w:rsidRPr="00F5154B" w:rsidRDefault="00335766" w:rsidP="008A4AFB">
      <w:pPr>
        <w:pStyle w:val="Default"/>
        <w:jc w:val="both"/>
      </w:pPr>
      <w:r w:rsidRPr="00F5154B">
        <w:t>[8] Németh I. (C-333/05. sz. ügy) szintén használt személygépkocsit vásárolt Németországban, amely tekintetében a magyar vámhatóság megállapította a fizetendő regisztrációs adót. Mivel Németh I. úgy vélte, hogy ezen adó sérti a közösségi jogot, keresetet nyújtott be a vámhatóság e határozata ellen a Bács-Kiskun Megyei Bíróság előtt.</w:t>
      </w:r>
    </w:p>
    <w:p w14:paraId="72925E03" w14:textId="77777777" w:rsidR="00335766" w:rsidRPr="00F5154B" w:rsidRDefault="00335766" w:rsidP="008A4AFB">
      <w:pPr>
        <w:pStyle w:val="Default"/>
        <w:jc w:val="both"/>
      </w:pPr>
      <w:r w:rsidRPr="00F5154B">
        <w:t>[9] A két magyar bíróság az előzetes döntéshozatalra előterjesztett kérdéseiben azt kívánta megtudni a Bíróságtól, hogy összeegyeztethető-e a magyar regisztrációs adó a közösségi joggal.</w:t>
      </w:r>
    </w:p>
    <w:p w14:paraId="349FAFC8" w14:textId="1F0B61BD" w:rsidR="00365927" w:rsidRDefault="00335766" w:rsidP="008A4AFB">
      <w:pPr>
        <w:pStyle w:val="Default"/>
        <w:jc w:val="both"/>
      </w:pPr>
      <w:r w:rsidRPr="00F5154B">
        <w:t>[10] 2006. október 5-én meghozott ítéletében az Európai Bíróság megállapította, hogy a regisztrációs adó ellentétes a közösségi joggal, amennyiben az magasabb összegben terheli a behozott használt személygépkocsikat, mint a Magyarországon már nyilvántartásba vett hasonló használt személygépkocsikat.</w:t>
      </w:r>
    </w:p>
    <w:p w14:paraId="12B1612F" w14:textId="39EA1387" w:rsidR="00357C6D" w:rsidRDefault="00357C6D" w:rsidP="008A4AFB">
      <w:pPr>
        <w:pStyle w:val="Default"/>
        <w:jc w:val="both"/>
      </w:pPr>
    </w:p>
    <w:p w14:paraId="63FBF882" w14:textId="6CCCA373" w:rsidR="00357C6D" w:rsidRPr="00357C6D" w:rsidRDefault="00357C6D" w:rsidP="008A4AFB">
      <w:pPr>
        <w:pStyle w:val="Default"/>
        <w:jc w:val="both"/>
        <w:rPr>
          <w:i/>
          <w:iCs/>
        </w:rPr>
      </w:pPr>
      <w:r w:rsidRPr="00357C6D">
        <w:rPr>
          <w:i/>
          <w:iCs/>
        </w:rPr>
        <w:t>(Megjelent: EU Jog Online, 2021/1–2. sz.)</w:t>
      </w:r>
    </w:p>
    <w:sectPr w:rsidR="00357C6D" w:rsidRPr="00357C6D" w:rsidSect="00B92E7E">
      <w:footnotePr>
        <w:numRestart w:val="eachSect"/>
      </w:foot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0617B" w14:textId="77777777" w:rsidR="00CA1E31" w:rsidRDefault="00CA1E31" w:rsidP="00335766">
      <w:pPr>
        <w:spacing w:after="0" w:line="240" w:lineRule="auto"/>
      </w:pPr>
      <w:r>
        <w:separator/>
      </w:r>
    </w:p>
  </w:endnote>
  <w:endnote w:type="continuationSeparator" w:id="0">
    <w:p w14:paraId="30F13BB3" w14:textId="77777777" w:rsidR="00CA1E31" w:rsidRDefault="00CA1E31" w:rsidP="0033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86C6" w14:textId="77777777" w:rsidR="00CA1E31" w:rsidRDefault="00CA1E31" w:rsidP="00335766">
      <w:pPr>
        <w:spacing w:after="0" w:line="240" w:lineRule="auto"/>
      </w:pPr>
      <w:r>
        <w:separator/>
      </w:r>
    </w:p>
  </w:footnote>
  <w:footnote w:type="continuationSeparator" w:id="0">
    <w:p w14:paraId="0DC6D627" w14:textId="77777777" w:rsidR="00CA1E31" w:rsidRDefault="00CA1E31" w:rsidP="00335766">
      <w:pPr>
        <w:spacing w:after="0" w:line="240" w:lineRule="auto"/>
      </w:pPr>
      <w:r>
        <w:continuationSeparator/>
      </w:r>
    </w:p>
  </w:footnote>
  <w:footnote w:id="1">
    <w:p w14:paraId="5162532D"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Egyetemi adjunktus, NKE-ÁNTK Európai Köz- és Magánjogi Tanszék</w:t>
      </w:r>
    </w:p>
  </w:footnote>
  <w:footnote w:id="2">
    <w:p w14:paraId="160463C1"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w:t>
      </w:r>
      <w:r w:rsidRPr="00441883">
        <w:rPr>
          <w:rFonts w:ascii="Times New Roman" w:hAnsi="Times New Roman" w:cs="Times New Roman"/>
        </w:rPr>
        <w:t>Európai Unió Bírósága – Bíróság:</w:t>
      </w:r>
      <w:r w:rsidRPr="00CC4743">
        <w:rPr>
          <w:rFonts w:ascii="Times New Roman" w:hAnsi="Times New Roman" w:cs="Times New Roman"/>
        </w:rPr>
        <w:t xml:space="preserve"> 2/2013. tanácsadó vélemény értelmében: „Amint ugyanis a Bíróság többször is megállapította, az Unió alapító szerződései a szokásos nemzetközi szerződésektől eltérően egy új, saját intézményekkel rendelkező jogrendet hoztak létre, melynek javára az államok egyre több területen korlátozták szuverén jogaikat, és amelynek nemcsak ezen tagállamok, hanem azok állampolgárai is az alanyai</w:t>
      </w:r>
      <w:r>
        <w:rPr>
          <w:rFonts w:ascii="Times New Roman" w:hAnsi="Times New Roman" w:cs="Times New Roman"/>
        </w:rPr>
        <w:t xml:space="preserve"> </w:t>
      </w:r>
      <w:r w:rsidRPr="00CC4743">
        <w:rPr>
          <w:rFonts w:ascii="Times New Roman" w:hAnsi="Times New Roman" w:cs="Times New Roman"/>
        </w:rPr>
        <w:t>(</w:t>
      </w:r>
      <w:r>
        <w:rPr>
          <w:rFonts w:ascii="Times New Roman" w:hAnsi="Times New Roman" w:cs="Times New Roman"/>
        </w:rPr>
        <w:t>l</w:t>
      </w:r>
      <w:r w:rsidRPr="00CC4743">
        <w:rPr>
          <w:rFonts w:ascii="Times New Roman" w:hAnsi="Times New Roman" w:cs="Times New Roman"/>
        </w:rPr>
        <w:t>ásd különösen: Van Gend &amp; Loos ítélet, 26/62, EU:C:1963:1, 23. o.; Costa ítélet, 6/64, EU:C:1964:66, 1158. o.; 1/09 vélemény, EU:C:2011:123, 65. pont).” ECLI:EU:C:2014:2454</w:t>
      </w:r>
      <w:r>
        <w:rPr>
          <w:rFonts w:ascii="Times New Roman" w:hAnsi="Times New Roman" w:cs="Times New Roman"/>
        </w:rPr>
        <w:t>,</w:t>
      </w:r>
      <w:r w:rsidRPr="00CC4743">
        <w:rPr>
          <w:rFonts w:ascii="Times New Roman" w:hAnsi="Times New Roman" w:cs="Times New Roman"/>
        </w:rPr>
        <w:t xml:space="preserve"> 157. pont.</w:t>
      </w:r>
    </w:p>
  </w:footnote>
  <w:footnote w:id="3">
    <w:p w14:paraId="4173A5E0"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w:t>
      </w:r>
      <w:r w:rsidRPr="00441883">
        <w:rPr>
          <w:rFonts w:ascii="Times New Roman" w:hAnsi="Times New Roman" w:cs="Times New Roman"/>
        </w:rPr>
        <w:t xml:space="preserve">Európai Unió Bírósága – Bíróság: </w:t>
      </w:r>
      <w:r w:rsidRPr="00CC4743">
        <w:rPr>
          <w:rFonts w:ascii="Times New Roman" w:hAnsi="Times New Roman" w:cs="Times New Roman"/>
        </w:rPr>
        <w:t>C-120/78</w:t>
      </w:r>
      <w:r>
        <w:rPr>
          <w:rFonts w:ascii="Times New Roman" w:hAnsi="Times New Roman" w:cs="Times New Roman"/>
        </w:rPr>
        <w:t xml:space="preserve">. </w:t>
      </w:r>
      <w:r w:rsidRPr="00B346FA">
        <w:rPr>
          <w:rFonts w:ascii="Times New Roman" w:hAnsi="Times New Roman" w:cs="Times New Roman"/>
        </w:rPr>
        <w:t>Rewe-Zentral AG kontra Bundesmonopolverwaltung für Branntwein</w:t>
      </w:r>
      <w:r>
        <w:rPr>
          <w:rFonts w:ascii="Times New Roman" w:hAnsi="Times New Roman" w:cs="Times New Roman"/>
        </w:rPr>
        <w:t xml:space="preserve"> ügyben </w:t>
      </w:r>
      <w:r w:rsidRPr="00B346FA">
        <w:rPr>
          <w:rFonts w:ascii="Times New Roman" w:hAnsi="Times New Roman" w:cs="Times New Roman"/>
        </w:rPr>
        <w:t>1979. február 20-</w:t>
      </w:r>
      <w:r>
        <w:rPr>
          <w:rFonts w:ascii="Times New Roman" w:hAnsi="Times New Roman" w:cs="Times New Roman"/>
        </w:rPr>
        <w:t>án hozott ítélet,</w:t>
      </w:r>
      <w:r w:rsidRPr="00CC4743">
        <w:rPr>
          <w:rFonts w:ascii="Times New Roman" w:hAnsi="Times New Roman" w:cs="Times New Roman"/>
        </w:rPr>
        <w:t xml:space="preserve"> ECLI:EU:C:1979:42.</w:t>
      </w:r>
    </w:p>
  </w:footnote>
  <w:footnote w:id="4">
    <w:p w14:paraId="0CAF5626"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Koen Lenaerts: </w:t>
      </w:r>
      <w:r w:rsidRPr="00CC4743">
        <w:rPr>
          <w:rFonts w:ascii="Times New Roman" w:hAnsi="Times New Roman" w:cs="Times New Roman"/>
          <w:bCs/>
        </w:rPr>
        <w:t xml:space="preserve">La vie après l’avis: Exploring the Principle of Mutual (Yet not Blind) Trust. </w:t>
      </w:r>
      <w:r w:rsidRPr="00CC4743">
        <w:rPr>
          <w:rFonts w:ascii="Times New Roman" w:hAnsi="Times New Roman" w:cs="Times New Roman"/>
          <w:iCs/>
        </w:rPr>
        <w:t>Common Market Law Review</w:t>
      </w:r>
      <w:r>
        <w:rPr>
          <w:rFonts w:ascii="Times New Roman" w:hAnsi="Times New Roman" w:cs="Times New Roman"/>
          <w:bCs/>
        </w:rPr>
        <w:t>, 2017/</w:t>
      </w:r>
      <w:r w:rsidRPr="00CC4743">
        <w:rPr>
          <w:rFonts w:ascii="Times New Roman" w:hAnsi="Times New Roman" w:cs="Times New Roman"/>
        </w:rPr>
        <w:t>3. sz.</w:t>
      </w:r>
      <w:r>
        <w:rPr>
          <w:rFonts w:ascii="Times New Roman" w:hAnsi="Times New Roman" w:cs="Times New Roman"/>
        </w:rPr>
        <w:t>,</w:t>
      </w:r>
      <w:r w:rsidRPr="00CC4743">
        <w:rPr>
          <w:rFonts w:ascii="Times New Roman" w:hAnsi="Times New Roman" w:cs="Times New Roman"/>
        </w:rPr>
        <w:t xml:space="preserve"> 805.</w:t>
      </w:r>
      <w:r>
        <w:rPr>
          <w:rFonts w:ascii="Times New Roman" w:hAnsi="Times New Roman" w:cs="Times New Roman"/>
        </w:rPr>
        <w:t xml:space="preserve"> o.</w:t>
      </w:r>
    </w:p>
  </w:footnote>
  <w:footnote w:id="5">
    <w:p w14:paraId="3D88A621"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Uitz Renáta: </w:t>
      </w:r>
      <w:r w:rsidRPr="00E82E84">
        <w:rPr>
          <w:rFonts w:ascii="Times New Roman" w:hAnsi="Times New Roman" w:cs="Times New Roman"/>
        </w:rPr>
        <w:t>The European Arrest Warrant as a Constitutional Instrument?</w:t>
      </w:r>
      <w:r>
        <w:rPr>
          <w:rFonts w:ascii="Times New Roman" w:hAnsi="Times New Roman" w:cs="Times New Roman"/>
        </w:rPr>
        <w:t xml:space="preserve"> </w:t>
      </w:r>
      <w:r w:rsidRPr="00726F4F">
        <w:rPr>
          <w:rFonts w:ascii="Times New Roman" w:hAnsi="Times New Roman" w:cs="Times New Roman"/>
        </w:rPr>
        <w:t>[online].</w:t>
      </w:r>
      <w:r w:rsidRPr="00E82E84">
        <w:rPr>
          <w:rFonts w:ascii="Times New Roman" w:hAnsi="Times New Roman" w:cs="Times New Roman"/>
        </w:rPr>
        <w:t xml:space="preserve"> </w:t>
      </w:r>
      <w:r>
        <w:rPr>
          <w:rFonts w:ascii="Times New Roman" w:hAnsi="Times New Roman" w:cs="Times New Roman"/>
        </w:rPr>
        <w:t xml:space="preserve">In: </w:t>
      </w:r>
      <w:r w:rsidRPr="00E82E84">
        <w:rPr>
          <w:rFonts w:ascii="Times New Roman" w:hAnsi="Times New Roman" w:cs="Times New Roman"/>
        </w:rPr>
        <w:t>Int’l J. Const. L. Blog</w:t>
      </w:r>
      <w:r>
        <w:rPr>
          <w:rFonts w:ascii="Times New Roman" w:hAnsi="Times New Roman" w:cs="Times New Roman"/>
        </w:rPr>
        <w:t>.</w:t>
      </w:r>
      <w:r w:rsidRPr="00E82E84">
        <w:rPr>
          <w:rFonts w:ascii="Times New Roman" w:hAnsi="Times New Roman" w:cs="Times New Roman"/>
        </w:rPr>
        <w:t xml:space="preserve"> 2018</w:t>
      </w:r>
      <w:r>
        <w:rPr>
          <w:rFonts w:ascii="Times New Roman" w:hAnsi="Times New Roman" w:cs="Times New Roman"/>
        </w:rPr>
        <w:t>.</w:t>
      </w:r>
      <w:r w:rsidRPr="00726F4F">
        <w:rPr>
          <w:rFonts w:ascii="Times New Roman" w:hAnsi="Times New Roman" w:cs="Times New Roman"/>
        </w:rPr>
        <w:t>04.25.</w:t>
      </w:r>
      <w:r>
        <w:rPr>
          <w:rFonts w:ascii="Times New Roman" w:hAnsi="Times New Roman" w:cs="Times New Roman"/>
        </w:rPr>
        <w:t xml:space="preserve"> </w:t>
      </w:r>
      <w:r w:rsidRPr="00E82E84">
        <w:rPr>
          <w:rFonts w:ascii="Times New Roman" w:hAnsi="Times New Roman" w:cs="Times New Roman"/>
        </w:rPr>
        <w:t>http://www.iconnectblog.com/2018/04/the-european-arrest-warrant-as-a-constitutional-instrument-i-connect-column/</w:t>
      </w:r>
    </w:p>
  </w:footnote>
  <w:footnote w:id="6">
    <w:p w14:paraId="3E5A0DEA"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EUSZ 49. cikk.</w:t>
      </w:r>
    </w:p>
  </w:footnote>
  <w:footnote w:id="7">
    <w:p w14:paraId="1FD4A041"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Koen Lenaerts</w:t>
      </w:r>
      <w:r>
        <w:rPr>
          <w:rFonts w:ascii="Times New Roman" w:hAnsi="Times New Roman" w:cs="Times New Roman"/>
        </w:rPr>
        <w:t xml:space="preserve">: </w:t>
      </w:r>
      <w:r w:rsidRPr="00CC4743">
        <w:rPr>
          <w:rFonts w:ascii="Times New Roman" w:hAnsi="Times New Roman" w:cs="Times New Roman"/>
        </w:rPr>
        <w:t>New Horizons for the Rule of Law within the EU. German Law Journal</w:t>
      </w:r>
      <w:r>
        <w:rPr>
          <w:rFonts w:ascii="Times New Roman" w:hAnsi="Times New Roman" w:cs="Times New Roman"/>
        </w:rPr>
        <w:t>,</w:t>
      </w:r>
      <w:r w:rsidRPr="00CC4743">
        <w:rPr>
          <w:rFonts w:ascii="Times New Roman" w:hAnsi="Times New Roman" w:cs="Times New Roman"/>
        </w:rPr>
        <w:t xml:space="preserve"> </w:t>
      </w:r>
      <w:r>
        <w:rPr>
          <w:rFonts w:ascii="Times New Roman" w:hAnsi="Times New Roman" w:cs="Times New Roman"/>
        </w:rPr>
        <w:t>2020/</w:t>
      </w:r>
      <w:r w:rsidRPr="00CC4743">
        <w:rPr>
          <w:rFonts w:ascii="Times New Roman" w:hAnsi="Times New Roman" w:cs="Times New Roman"/>
        </w:rPr>
        <w:t>1. sz.</w:t>
      </w:r>
      <w:r>
        <w:rPr>
          <w:rFonts w:ascii="Times New Roman" w:hAnsi="Times New Roman" w:cs="Times New Roman"/>
        </w:rPr>
        <w:t xml:space="preserve">, </w:t>
      </w:r>
      <w:r w:rsidRPr="00CC4743">
        <w:rPr>
          <w:rFonts w:ascii="Times New Roman" w:hAnsi="Times New Roman" w:cs="Times New Roman"/>
        </w:rPr>
        <w:t>31.</w:t>
      </w:r>
      <w:r>
        <w:rPr>
          <w:rFonts w:ascii="Times New Roman" w:hAnsi="Times New Roman" w:cs="Times New Roman"/>
        </w:rPr>
        <w:t xml:space="preserve"> o.</w:t>
      </w:r>
    </w:p>
  </w:footnote>
  <w:footnote w:id="8">
    <w:p w14:paraId="3B1493B6"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w:t>
      </w:r>
      <w:r w:rsidRPr="00441883">
        <w:rPr>
          <w:rFonts w:ascii="Times New Roman" w:hAnsi="Times New Roman" w:cs="Times New Roman"/>
        </w:rPr>
        <w:t xml:space="preserve">Európai Unió Bírósága – Bíróság: </w:t>
      </w:r>
      <w:r w:rsidRPr="00CC4743">
        <w:rPr>
          <w:rFonts w:ascii="Times New Roman" w:hAnsi="Times New Roman" w:cs="Times New Roman"/>
        </w:rPr>
        <w:t>C</w:t>
      </w:r>
      <w:r w:rsidRPr="00CC4743">
        <w:rPr>
          <w:rFonts w:ascii="Times New Roman" w:hAnsi="Times New Roman" w:cs="Times New Roman"/>
        </w:rPr>
        <w:noBreakHyphen/>
        <w:t>64/16. </w:t>
      </w:r>
      <w:r w:rsidRPr="00DA376D">
        <w:rPr>
          <w:rFonts w:ascii="Times New Roman" w:hAnsi="Times New Roman" w:cs="Times New Roman"/>
          <w:bCs/>
        </w:rPr>
        <w:t>Associação Sindical dos Juízes Portugueses kontra Tribunal de Contas</w:t>
      </w:r>
      <w:r>
        <w:rPr>
          <w:rFonts w:ascii="Times New Roman" w:hAnsi="Times New Roman" w:cs="Times New Roman"/>
          <w:bCs/>
        </w:rPr>
        <w:t xml:space="preserve"> ügyben </w:t>
      </w:r>
      <w:r w:rsidRPr="00DA376D">
        <w:rPr>
          <w:rFonts w:ascii="Times New Roman" w:hAnsi="Times New Roman" w:cs="Times New Roman"/>
          <w:bCs/>
        </w:rPr>
        <w:t>2018. február 27</w:t>
      </w:r>
      <w:r>
        <w:rPr>
          <w:rFonts w:ascii="Times New Roman" w:hAnsi="Times New Roman" w:cs="Times New Roman"/>
          <w:bCs/>
        </w:rPr>
        <w:t>-én hozott ítélet,</w:t>
      </w:r>
      <w:r w:rsidRPr="00CC4743">
        <w:rPr>
          <w:rFonts w:ascii="Times New Roman" w:hAnsi="Times New Roman" w:cs="Times New Roman"/>
          <w:bCs/>
        </w:rPr>
        <w:t xml:space="preserve"> </w:t>
      </w:r>
      <w:r w:rsidRPr="00CC4743">
        <w:rPr>
          <w:rFonts w:ascii="Times New Roman" w:hAnsi="Times New Roman" w:cs="Times New Roman"/>
        </w:rPr>
        <w:t>ECLI:EU:C:2018:117</w:t>
      </w:r>
      <w:r>
        <w:rPr>
          <w:rFonts w:ascii="Times New Roman" w:hAnsi="Times New Roman" w:cs="Times New Roman"/>
        </w:rPr>
        <w:t>.</w:t>
      </w:r>
    </w:p>
  </w:footnote>
  <w:footnote w:id="9">
    <w:p w14:paraId="1F738C81" w14:textId="77777777" w:rsidR="00235CC9" w:rsidRPr="00E024A9" w:rsidRDefault="00235CC9" w:rsidP="00235CC9">
      <w:pPr>
        <w:spacing w:after="0" w:line="240" w:lineRule="auto"/>
        <w:rPr>
          <w:rFonts w:ascii="Times New Roman" w:hAnsi="Times New Roman" w:cs="Times New Roman"/>
          <w:sz w:val="20"/>
          <w:szCs w:val="20"/>
        </w:rPr>
      </w:pPr>
      <w:r w:rsidRPr="00E024A9">
        <w:rPr>
          <w:rFonts w:ascii="Times New Roman" w:hAnsi="Times New Roman" w:cs="Times New Roman"/>
          <w:sz w:val="20"/>
          <w:szCs w:val="20"/>
          <w:vertAlign w:val="superscript"/>
        </w:rPr>
        <w:footnoteRef/>
      </w:r>
      <w:r w:rsidRPr="00E024A9">
        <w:rPr>
          <w:rFonts w:ascii="Times New Roman" w:hAnsi="Times New Roman" w:cs="Times New Roman"/>
          <w:sz w:val="20"/>
          <w:szCs w:val="20"/>
          <w:vertAlign w:val="superscript"/>
        </w:rPr>
        <w:t xml:space="preserve"> </w:t>
      </w:r>
      <w:r w:rsidRPr="00E024A9">
        <w:rPr>
          <w:rFonts w:ascii="Times New Roman" w:hAnsi="Times New Roman" w:cs="Times New Roman"/>
          <w:sz w:val="20"/>
          <w:szCs w:val="20"/>
        </w:rPr>
        <w:t>Európai Unió Bírósága – Bíróság: C</w:t>
      </w:r>
      <w:r w:rsidRPr="00E024A9">
        <w:rPr>
          <w:rFonts w:ascii="Times New Roman" w:hAnsi="Times New Roman" w:cs="Times New Roman"/>
          <w:sz w:val="20"/>
          <w:szCs w:val="20"/>
        </w:rPr>
        <w:noBreakHyphen/>
        <w:t>58/13. és C</w:t>
      </w:r>
      <w:r w:rsidRPr="00E024A9">
        <w:rPr>
          <w:rFonts w:ascii="Times New Roman" w:hAnsi="Times New Roman" w:cs="Times New Roman"/>
          <w:sz w:val="20"/>
          <w:szCs w:val="20"/>
        </w:rPr>
        <w:noBreakHyphen/>
        <w:t>59/13. Angelo Alberto Torresi és Pierfrancesco Torresi kontra Consiglio dell’Ordine degli Avvocati di Macerata egyesített ügyekben 2014. július 17-én hozott ítélet, EU:C:2014:2088, 17. pont; Európai Unió Bírósága – Bíróság: C</w:t>
      </w:r>
      <w:r w:rsidRPr="00E024A9">
        <w:rPr>
          <w:rFonts w:ascii="Times New Roman" w:hAnsi="Times New Roman" w:cs="Times New Roman"/>
          <w:sz w:val="20"/>
          <w:szCs w:val="20"/>
        </w:rPr>
        <w:noBreakHyphen/>
        <w:t>203/14. Consorci Sanitari del Maresme kontra Corporació de Salut del Maresme i la Selva ügyben 2</w:t>
      </w:r>
      <w:r w:rsidRPr="00090CE9">
        <w:rPr>
          <w:rFonts w:ascii="Times New Roman" w:hAnsi="Times New Roman" w:cs="Times New Roman"/>
          <w:sz w:val="20"/>
          <w:szCs w:val="20"/>
        </w:rPr>
        <w:t>015</w:t>
      </w:r>
      <w:r w:rsidRPr="00E024A9">
        <w:rPr>
          <w:rFonts w:ascii="Times New Roman" w:hAnsi="Times New Roman" w:cs="Times New Roman"/>
          <w:sz w:val="20"/>
          <w:szCs w:val="20"/>
        </w:rPr>
        <w:t>. október 6-án hozott ítélet, EU:C:2015:664, 17. pont; Európai Unió Bírósága – Bíróság: C</w:t>
      </w:r>
      <w:r w:rsidRPr="00E024A9">
        <w:rPr>
          <w:rFonts w:ascii="Times New Roman" w:hAnsi="Times New Roman" w:cs="Times New Roman"/>
          <w:sz w:val="20"/>
          <w:szCs w:val="20"/>
        </w:rPr>
        <w:noBreakHyphen/>
        <w:t xml:space="preserve">503/15. Ramón Margarit Panicello </w:t>
      </w:r>
      <w:r>
        <w:rPr>
          <w:rFonts w:ascii="Times New Roman" w:hAnsi="Times New Roman" w:cs="Times New Roman"/>
          <w:sz w:val="20"/>
          <w:szCs w:val="20"/>
        </w:rPr>
        <w:t>kontra</w:t>
      </w:r>
      <w:r w:rsidRPr="00E024A9">
        <w:rPr>
          <w:rFonts w:ascii="Times New Roman" w:hAnsi="Times New Roman" w:cs="Times New Roman"/>
          <w:sz w:val="20"/>
          <w:szCs w:val="20"/>
        </w:rPr>
        <w:t xml:space="preserve"> Pilar Hernández Martínez </w:t>
      </w:r>
      <w:r>
        <w:rPr>
          <w:rFonts w:ascii="Times New Roman" w:hAnsi="Times New Roman" w:cs="Times New Roman"/>
          <w:sz w:val="20"/>
          <w:szCs w:val="20"/>
        </w:rPr>
        <w:t xml:space="preserve">ügyben </w:t>
      </w:r>
      <w:r w:rsidRPr="00E024A9">
        <w:rPr>
          <w:rFonts w:ascii="Times New Roman" w:hAnsi="Times New Roman" w:cs="Times New Roman"/>
          <w:sz w:val="20"/>
          <w:szCs w:val="20"/>
        </w:rPr>
        <w:t>2</w:t>
      </w:r>
      <w:r w:rsidRPr="00090CE9">
        <w:rPr>
          <w:rFonts w:ascii="Times New Roman" w:hAnsi="Times New Roman" w:cs="Times New Roman"/>
          <w:sz w:val="20"/>
          <w:szCs w:val="20"/>
        </w:rPr>
        <w:t xml:space="preserve">017. február 16-án hozott ítélet, </w:t>
      </w:r>
      <w:r w:rsidRPr="00E024A9">
        <w:rPr>
          <w:rFonts w:ascii="Times New Roman" w:hAnsi="Times New Roman" w:cs="Times New Roman"/>
          <w:sz w:val="20"/>
          <w:szCs w:val="20"/>
        </w:rPr>
        <w:t>EU:C:2017:126, 27. pont.</w:t>
      </w:r>
    </w:p>
  </w:footnote>
  <w:footnote w:id="10">
    <w:p w14:paraId="2EE1ED1B" w14:textId="77777777" w:rsidR="00235CC9" w:rsidRPr="00CC4743" w:rsidRDefault="00235CC9" w:rsidP="00235CC9">
      <w:pPr>
        <w:pStyle w:val="Lbjegyzetszveg"/>
        <w:jc w:val="both"/>
        <w:rPr>
          <w:rFonts w:ascii="Times New Roman" w:hAnsi="Times New Roman" w:cs="Times New Roman"/>
        </w:rPr>
      </w:pPr>
      <w:r w:rsidRPr="00CC4743">
        <w:rPr>
          <w:rStyle w:val="Lbjegyzet-hivatkozs"/>
          <w:rFonts w:ascii="Times New Roman" w:hAnsi="Times New Roman" w:cs="Times New Roman"/>
        </w:rPr>
        <w:footnoteRef/>
      </w:r>
      <w:r w:rsidRPr="00CC4743">
        <w:rPr>
          <w:rFonts w:ascii="Times New Roman" w:hAnsi="Times New Roman" w:cs="Times New Roman"/>
        </w:rPr>
        <w:t xml:space="preserve"> </w:t>
      </w:r>
      <w:r w:rsidRPr="00441883">
        <w:rPr>
          <w:rFonts w:ascii="Times New Roman" w:hAnsi="Times New Roman" w:cs="Times New Roman"/>
        </w:rPr>
        <w:t xml:space="preserve">Európai Unió Bírósága – Bíróság: </w:t>
      </w:r>
      <w:r w:rsidRPr="00CC4743">
        <w:rPr>
          <w:rFonts w:ascii="Times New Roman" w:hAnsi="Times New Roman" w:cs="Times New Roman"/>
        </w:rPr>
        <w:t>C</w:t>
      </w:r>
      <w:r w:rsidRPr="00CC4743">
        <w:rPr>
          <w:rFonts w:ascii="Times New Roman" w:hAnsi="Times New Roman" w:cs="Times New Roman"/>
        </w:rPr>
        <w:noBreakHyphen/>
        <w:t>64/16. </w:t>
      </w:r>
      <w:r w:rsidRPr="00DA376D">
        <w:rPr>
          <w:rFonts w:ascii="Times New Roman" w:hAnsi="Times New Roman" w:cs="Times New Roman"/>
          <w:bCs/>
        </w:rPr>
        <w:t>Associação Sindical dos Juízes Portugueses kontra Tribunal de Contas</w:t>
      </w:r>
      <w:r>
        <w:rPr>
          <w:rFonts w:ascii="Times New Roman" w:hAnsi="Times New Roman" w:cs="Times New Roman"/>
          <w:bCs/>
        </w:rPr>
        <w:t xml:space="preserve"> ügyben </w:t>
      </w:r>
      <w:r w:rsidRPr="00DA376D">
        <w:rPr>
          <w:rFonts w:ascii="Times New Roman" w:hAnsi="Times New Roman" w:cs="Times New Roman"/>
          <w:bCs/>
        </w:rPr>
        <w:t>2018. február 27</w:t>
      </w:r>
      <w:r>
        <w:rPr>
          <w:rFonts w:ascii="Times New Roman" w:hAnsi="Times New Roman" w:cs="Times New Roman"/>
          <w:bCs/>
        </w:rPr>
        <w:t>-én hozott ítélet,</w:t>
      </w:r>
      <w:r w:rsidRPr="00CC4743">
        <w:rPr>
          <w:rFonts w:ascii="Times New Roman" w:hAnsi="Times New Roman" w:cs="Times New Roman"/>
          <w:bCs/>
        </w:rPr>
        <w:t xml:space="preserve"> </w:t>
      </w:r>
      <w:r w:rsidRPr="00CC4743">
        <w:rPr>
          <w:rFonts w:ascii="Times New Roman" w:hAnsi="Times New Roman" w:cs="Times New Roman"/>
        </w:rPr>
        <w:t>ECLI:EU:C:2018:117</w:t>
      </w:r>
      <w:r>
        <w:rPr>
          <w:rFonts w:ascii="Times New Roman" w:hAnsi="Times New Roman" w:cs="Times New Roman"/>
        </w:rPr>
        <w:t>,</w:t>
      </w:r>
      <w:r w:rsidRPr="00CC4743">
        <w:rPr>
          <w:rFonts w:ascii="Times New Roman" w:hAnsi="Times New Roman" w:cs="Times New Roman"/>
        </w:rPr>
        <w:t xml:space="preserve"> 44. pont.</w:t>
      </w:r>
    </w:p>
  </w:footnote>
  <w:footnote w:id="11">
    <w:p w14:paraId="22A77CEB"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930F46">
        <w:rPr>
          <w:rFonts w:ascii="Times New Roman" w:hAnsi="Times New Roman" w:cs="Times New Roman"/>
        </w:rPr>
        <w:t xml:space="preserve"> Szekszárdi Törvényszék, bíró; Nemzeti Közszolgálati Egyetem Államtudományi és Nemzetközi Tanulmányok Kar, egyetemi adjunktus</w:t>
      </w:r>
      <w:r>
        <w:rPr>
          <w:rFonts w:ascii="Times New Roman" w:hAnsi="Times New Roman" w:cs="Times New Roman"/>
        </w:rPr>
        <w:t>.</w:t>
      </w:r>
    </w:p>
  </w:footnote>
  <w:footnote w:id="12">
    <w:p w14:paraId="4F63591C"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930F46">
        <w:rPr>
          <w:rFonts w:ascii="Times New Roman" w:hAnsi="Times New Roman" w:cs="Times New Roman"/>
        </w:rPr>
        <w:t xml:space="preserve"> Ezt támasztja alá, hogy a 4/2009/EK rendelet és a 2007. évi hágai egyezmény idegen nyelvű változatainak többsége azonos módon jelölik meg e közintézményeket („public bodies”; „organismes publics”; „öffentliche Aufgaben wahrnehmende Einrichtungen”). A szakirodalomban vö.:</w:t>
      </w:r>
      <w:r w:rsidRPr="00410197">
        <w:t xml:space="preserve"> </w:t>
      </w:r>
      <w:r w:rsidRPr="00410197">
        <w:rPr>
          <w:rFonts w:ascii="Times New Roman" w:hAnsi="Times New Roman" w:cs="Times New Roman"/>
        </w:rPr>
        <w:t>Dieter Martiny: Jurisdiction, Recognition and Enforcement in Cases of Reinbursement Claims by Public Bodies. In</w:t>
      </w:r>
      <w:r>
        <w:rPr>
          <w:rFonts w:ascii="Times New Roman" w:hAnsi="Times New Roman" w:cs="Times New Roman"/>
        </w:rPr>
        <w:t>:</w:t>
      </w:r>
      <w:r w:rsidRPr="00410197">
        <w:rPr>
          <w:rFonts w:ascii="Times New Roman" w:hAnsi="Times New Roman" w:cs="Times New Roman"/>
        </w:rPr>
        <w:t xml:space="preserve"> Paul Beaumont – Burkhard Hess – Lara Walker – Stefanie Spancken (eds.): The Recovery of Maintenance in the EU and Worldwide. Hart Publishing, Oxford, 2014</w:t>
      </w:r>
      <w:r w:rsidRPr="00930F46">
        <w:rPr>
          <w:rFonts w:ascii="Times New Roman" w:hAnsi="Times New Roman" w:cs="Times New Roman"/>
        </w:rPr>
        <w:t>, 486.</w:t>
      </w:r>
      <w:r>
        <w:rPr>
          <w:rFonts w:ascii="Times New Roman" w:hAnsi="Times New Roman" w:cs="Times New Roman"/>
        </w:rPr>
        <w:t xml:space="preserve"> o.</w:t>
      </w:r>
      <w:r w:rsidRPr="00930F46">
        <w:rPr>
          <w:rFonts w:ascii="Times New Roman" w:hAnsi="Times New Roman" w:cs="Times New Roman"/>
        </w:rPr>
        <w:t>;</w:t>
      </w:r>
      <w:r w:rsidRPr="00410197">
        <w:t xml:space="preserve"> </w:t>
      </w:r>
      <w:r w:rsidRPr="00410197">
        <w:rPr>
          <w:rFonts w:ascii="Times New Roman" w:hAnsi="Times New Roman" w:cs="Times New Roman"/>
        </w:rPr>
        <w:t>Marianne Andrae: Verordnung (EG) Nr 4/2009 des Rates vom 18. Dezember 2008 über die Zuständigkeit, das anwendbare Recht, die Anerkennung und Vollstreckung von Entscheidungen und die Zusemmenarbeit in Unterhaltssachen. In</w:t>
      </w:r>
      <w:r>
        <w:rPr>
          <w:rFonts w:ascii="Times New Roman" w:hAnsi="Times New Roman" w:cs="Times New Roman"/>
        </w:rPr>
        <w:t>:</w:t>
      </w:r>
      <w:r w:rsidRPr="00410197">
        <w:rPr>
          <w:rFonts w:ascii="Times New Roman" w:hAnsi="Times New Roman" w:cs="Times New Roman"/>
        </w:rPr>
        <w:t xml:space="preserve"> Thomas Rauscher (ed.): Europäisches Zivilprozess- und Kollisionsrecht. Kommentar. Sellier, München, 2014</w:t>
      </w:r>
      <w:r w:rsidRPr="00930F46">
        <w:rPr>
          <w:rFonts w:ascii="Times New Roman" w:hAnsi="Times New Roman" w:cs="Times New Roman"/>
        </w:rPr>
        <w:t>, Art. 64, Rn. 1.;</w:t>
      </w:r>
      <w:r w:rsidRPr="00410197">
        <w:t xml:space="preserve"> </w:t>
      </w:r>
      <w:r w:rsidRPr="00410197">
        <w:rPr>
          <w:rFonts w:ascii="Times New Roman" w:hAnsi="Times New Roman" w:cs="Times New Roman"/>
        </w:rPr>
        <w:t>Reinhold Geimer – Rolf A. Schütze: Internationaler Rechtsverkehr in Zivil- und Handelssachen. Band 2. C.H. Beck, München, 2014.</w:t>
      </w:r>
      <w:r w:rsidRPr="00930F46">
        <w:rPr>
          <w:rFonts w:ascii="Times New Roman" w:hAnsi="Times New Roman" w:cs="Times New Roman"/>
        </w:rPr>
        <w:t>, Art. 64., Rn. 9.</w:t>
      </w:r>
    </w:p>
  </w:footnote>
  <w:footnote w:id="13">
    <w:p w14:paraId="315E747E"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930F46">
        <w:rPr>
          <w:rFonts w:ascii="Times New Roman" w:hAnsi="Times New Roman" w:cs="Times New Roman"/>
        </w:rPr>
        <w:t xml:space="preserve"> 4/2009/EK rendelet (14) preambulumbekezdés</w:t>
      </w:r>
      <w:r>
        <w:rPr>
          <w:rFonts w:ascii="Times New Roman" w:hAnsi="Times New Roman" w:cs="Times New Roman"/>
        </w:rPr>
        <w:t>.</w:t>
      </w:r>
    </w:p>
  </w:footnote>
  <w:footnote w:id="14">
    <w:p w14:paraId="0FA7E024"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930F46">
        <w:rPr>
          <w:rFonts w:ascii="Times New Roman" w:hAnsi="Times New Roman" w:cs="Times New Roman"/>
        </w:rPr>
        <w:t xml:space="preserve"> Ian Curry-Sumner: Administrative co-operation and free legal aid in international child maintenance recovery. What is the added value of the European Maintenance Regulation? Nederlands International Privatrecht, 2010/4., 617.</w:t>
      </w:r>
      <w:r>
        <w:rPr>
          <w:rFonts w:ascii="Times New Roman" w:hAnsi="Times New Roman" w:cs="Times New Roman"/>
        </w:rPr>
        <w:t xml:space="preserve"> o.</w:t>
      </w:r>
    </w:p>
  </w:footnote>
  <w:footnote w:id="15">
    <w:p w14:paraId="364E7ACD"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7611A4">
        <w:t xml:space="preserve"> </w:t>
      </w:r>
      <w:r w:rsidRPr="007611A4">
        <w:rPr>
          <w:rFonts w:ascii="Times New Roman" w:hAnsi="Times New Roman" w:cs="Times New Roman"/>
        </w:rPr>
        <w:t>Reinhold Geimer – Rolf A. Schütze: Internationaler Rechtsverkehr in Zivil- und Handelssachen. Band 2. C.H. Beck, München, 2014.</w:t>
      </w:r>
      <w:r w:rsidRPr="00930F46">
        <w:rPr>
          <w:rFonts w:ascii="Times New Roman" w:hAnsi="Times New Roman" w:cs="Times New Roman"/>
        </w:rPr>
        <w:t>, Art. 64, Rn. 9.</w:t>
      </w:r>
    </w:p>
  </w:footnote>
  <w:footnote w:id="16">
    <w:p w14:paraId="7BC9ED60"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930F46">
        <w:rPr>
          <w:rFonts w:ascii="Times New Roman" w:hAnsi="Times New Roman" w:cs="Times New Roman"/>
        </w:rPr>
        <w:t xml:space="preserve"> Michel Verwilghen: Rapport explicatif sur les Conventions-Obligations alimentaires de 1973. Tiré à part des Actes et documents de la Douzième session (1972), t. IV, Obligations alimentaires, para. 90.</w:t>
      </w:r>
    </w:p>
  </w:footnote>
  <w:footnote w:id="17">
    <w:p w14:paraId="0CA47317" w14:textId="77777777" w:rsidR="006F6DF3" w:rsidRPr="00930F46" w:rsidRDefault="006F6DF3" w:rsidP="006F6DF3">
      <w:pPr>
        <w:pStyle w:val="Lbjegyzetszveg"/>
        <w:jc w:val="both"/>
        <w:rPr>
          <w:rFonts w:ascii="Times New Roman" w:hAnsi="Times New Roman" w:cs="Times New Roman"/>
        </w:rPr>
      </w:pPr>
      <w:r w:rsidRPr="00930F46">
        <w:rPr>
          <w:rStyle w:val="Lbjegyzet-hivatkozs"/>
          <w:rFonts w:ascii="Times New Roman" w:hAnsi="Times New Roman" w:cs="Times New Roman"/>
        </w:rPr>
        <w:footnoteRef/>
      </w:r>
      <w:r w:rsidRPr="00410197">
        <w:t xml:space="preserve"> </w:t>
      </w:r>
      <w:r w:rsidRPr="00410197">
        <w:rPr>
          <w:rFonts w:ascii="Times New Roman" w:hAnsi="Times New Roman" w:cs="Times New Roman"/>
        </w:rPr>
        <w:t>Marianne Andrae: Verordnung (EG) Nr 4/2009 des Rates vom 18. Dezember 2008 über die Zuständigkeit, das anwendbare Recht, die Anerkennung und Vollstreckung von Entscheidungen und die Zusemmenarbeit in Unterhaltssachen. In</w:t>
      </w:r>
      <w:r>
        <w:rPr>
          <w:rFonts w:ascii="Times New Roman" w:hAnsi="Times New Roman" w:cs="Times New Roman"/>
        </w:rPr>
        <w:t>:</w:t>
      </w:r>
      <w:r w:rsidRPr="00410197">
        <w:rPr>
          <w:rFonts w:ascii="Times New Roman" w:hAnsi="Times New Roman" w:cs="Times New Roman"/>
        </w:rPr>
        <w:t xml:space="preserve"> Thomas Rauscher (ed.): Europäisches Zivilprozess- und Kollisionsrecht. Kommentar. Sellier, München, 2014</w:t>
      </w:r>
      <w:r w:rsidRPr="00930F46">
        <w:rPr>
          <w:rFonts w:ascii="Times New Roman" w:hAnsi="Times New Roman" w:cs="Times New Roman"/>
        </w:rPr>
        <w:t>, Art. 64, Rn. 1.</w:t>
      </w:r>
    </w:p>
  </w:footnote>
  <w:footnote w:id="18">
    <w:p w14:paraId="6EF80BEF" w14:textId="77777777" w:rsidR="00335766" w:rsidRPr="008A4AFB" w:rsidRDefault="00335766" w:rsidP="00335766">
      <w:pPr>
        <w:pStyle w:val="Lbjegyzetszveg"/>
        <w:rPr>
          <w:rFonts w:ascii="Times New Roman" w:hAnsi="Times New Roman" w:cs="Times New Roman"/>
        </w:rPr>
      </w:pPr>
      <w:r w:rsidRPr="008A4AFB">
        <w:rPr>
          <w:rStyle w:val="Lbjegyzet-hivatkozs"/>
          <w:rFonts w:ascii="Times New Roman" w:hAnsi="Times New Roman" w:cs="Times New Roman"/>
        </w:rPr>
        <w:footnoteRef/>
      </w:r>
      <w:r w:rsidRPr="008A4AFB">
        <w:rPr>
          <w:rFonts w:ascii="Times New Roman" w:hAnsi="Times New Roman" w:cs="Times New Roman"/>
        </w:rPr>
        <w:t xml:space="preserve"> Sajtóreferens, Európai Unió Bírósága Sajtó- és Tájékoztatási Egység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41F52"/>
    <w:multiLevelType w:val="hybridMultilevel"/>
    <w:tmpl w:val="691E35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7C0B4A"/>
    <w:multiLevelType w:val="hybridMultilevel"/>
    <w:tmpl w:val="1A940E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480407"/>
    <w:multiLevelType w:val="hybridMultilevel"/>
    <w:tmpl w:val="85B273F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B413786"/>
    <w:multiLevelType w:val="multilevel"/>
    <w:tmpl w:val="78B88F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66"/>
    <w:rsid w:val="0001616F"/>
    <w:rsid w:val="00025085"/>
    <w:rsid w:val="00026AEE"/>
    <w:rsid w:val="000C01D8"/>
    <w:rsid w:val="00115E6F"/>
    <w:rsid w:val="00181D36"/>
    <w:rsid w:val="00235CC9"/>
    <w:rsid w:val="00273004"/>
    <w:rsid w:val="00335766"/>
    <w:rsid w:val="003579BF"/>
    <w:rsid w:val="00357C6D"/>
    <w:rsid w:val="003E2A1A"/>
    <w:rsid w:val="00460BB5"/>
    <w:rsid w:val="005B460D"/>
    <w:rsid w:val="006141B4"/>
    <w:rsid w:val="00684037"/>
    <w:rsid w:val="006F6DF3"/>
    <w:rsid w:val="00701997"/>
    <w:rsid w:val="00747631"/>
    <w:rsid w:val="007E2015"/>
    <w:rsid w:val="00822D28"/>
    <w:rsid w:val="00846816"/>
    <w:rsid w:val="008A4AFB"/>
    <w:rsid w:val="009A0E9C"/>
    <w:rsid w:val="009C6B4B"/>
    <w:rsid w:val="009F2EC6"/>
    <w:rsid w:val="00AF6E0B"/>
    <w:rsid w:val="00B92E7E"/>
    <w:rsid w:val="00C2185C"/>
    <w:rsid w:val="00CA1E31"/>
    <w:rsid w:val="00D55EE0"/>
    <w:rsid w:val="00DC245F"/>
    <w:rsid w:val="00DC2671"/>
    <w:rsid w:val="00E27060"/>
    <w:rsid w:val="00E75A0A"/>
    <w:rsid w:val="00E774BB"/>
    <w:rsid w:val="00EB6A32"/>
    <w:rsid w:val="00F1159E"/>
    <w:rsid w:val="00FB658E"/>
    <w:rsid w:val="00FD6B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5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5766"/>
    <w:pPr>
      <w:spacing w:after="160" w:line="256" w:lineRule="auto"/>
    </w:pPr>
    <w:rPr>
      <w:sz w:val="22"/>
      <w:szCs w:val="22"/>
    </w:rPr>
  </w:style>
  <w:style w:type="paragraph" w:styleId="Cmsor1">
    <w:name w:val="heading 1"/>
    <w:basedOn w:val="Norml"/>
    <w:next w:val="Norml"/>
    <w:link w:val="Cmsor1Char"/>
    <w:uiPriority w:val="9"/>
    <w:qFormat/>
    <w:rsid w:val="0033576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hu-HU"/>
    </w:rPr>
  </w:style>
  <w:style w:type="paragraph" w:styleId="Cmsor2">
    <w:name w:val="heading 2"/>
    <w:basedOn w:val="Norml"/>
    <w:link w:val="Cmsor2Char"/>
    <w:uiPriority w:val="9"/>
    <w:qFormat/>
    <w:rsid w:val="0033576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5766"/>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uiPriority w:val="9"/>
    <w:rsid w:val="00335766"/>
    <w:rPr>
      <w:rFonts w:ascii="Times New Roman" w:eastAsia="Times New Roman" w:hAnsi="Times New Roman" w:cs="Times New Roman"/>
      <w:b/>
      <w:bCs/>
      <w:sz w:val="36"/>
      <w:szCs w:val="36"/>
      <w:lang w:eastAsia="hu-HU"/>
    </w:rPr>
  </w:style>
  <w:style w:type="paragraph" w:customStyle="1" w:styleId="Default">
    <w:name w:val="Default"/>
    <w:rsid w:val="00335766"/>
    <w:pPr>
      <w:autoSpaceDE w:val="0"/>
      <w:autoSpaceDN w:val="0"/>
      <w:adjustRightInd w:val="0"/>
    </w:pPr>
    <w:rPr>
      <w:rFonts w:ascii="Times New Roman" w:hAnsi="Times New Roman" w:cs="Times New Roman"/>
      <w:color w:val="000000"/>
    </w:rPr>
  </w:style>
  <w:style w:type="paragraph" w:customStyle="1" w:styleId="Standard">
    <w:name w:val="Standard"/>
    <w:rsid w:val="00335766"/>
    <w:pPr>
      <w:widowControl w:val="0"/>
      <w:suppressAutoHyphens/>
      <w:autoSpaceDN w:val="0"/>
      <w:jc w:val="both"/>
      <w:textAlignment w:val="baseline"/>
    </w:pPr>
    <w:rPr>
      <w:rFonts w:ascii="Times New Roman" w:eastAsia="Times New Roman" w:hAnsi="Times New Roman" w:cs="Times New Roman"/>
      <w:kern w:val="3"/>
      <w:lang w:eastAsia="zh-CN" w:bidi="hi-IN"/>
    </w:rPr>
  </w:style>
  <w:style w:type="paragraph" w:styleId="NormlWeb">
    <w:name w:val="Normal (Web)"/>
    <w:basedOn w:val="Norml"/>
    <w:uiPriority w:val="99"/>
    <w:semiHidden/>
    <w:unhideWhenUsed/>
    <w:rsid w:val="00335766"/>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335766"/>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35766"/>
    <w:rPr>
      <w:rFonts w:ascii="Times New Roman" w:hAnsi="Times New Roman" w:cs="Times New Roman"/>
      <w:sz w:val="18"/>
      <w:szCs w:val="18"/>
    </w:rPr>
  </w:style>
  <w:style w:type="paragraph" w:styleId="Vltozat">
    <w:name w:val="Revision"/>
    <w:hidden/>
    <w:uiPriority w:val="99"/>
    <w:semiHidden/>
    <w:rsid w:val="00335766"/>
    <w:rPr>
      <w:sz w:val="22"/>
      <w:szCs w:val="22"/>
    </w:rPr>
  </w:style>
  <w:style w:type="character" w:styleId="Lbjegyzet-hivatkozs">
    <w:name w:val="footnote reference"/>
    <w:aliases w:val="Footnote reference number,Footnote symbol,note TESI,Footnote Reference in text,Ref,de nota al pie,Footnote number,callout,Marque note bas de page,Footnotes refss,FZ,Footnote Symbol,JFR-Fußnotenzeichen,*Footnote Reference"/>
    <w:basedOn w:val="Bekezdsalapbettpusa"/>
    <w:uiPriority w:val="99"/>
    <w:unhideWhenUsed/>
    <w:qFormat/>
    <w:rsid w:val="00335766"/>
    <w:rPr>
      <w:vertAlign w:val="superscript"/>
    </w:rPr>
  </w:style>
  <w:style w:type="paragraph" w:styleId="Lbjegyzetszveg">
    <w:name w:val="footnote text"/>
    <w:aliases w:val="EUMC_Lábjegyzetszöveg,Allmärkuse tekst Märk,fn,fn1,fn2,footnote text1,fn3,footnote text2,footnote text,Text pozn. pod čarou Char,Footnote Text Char Char Char Char,Footnote Text Char Char Char,Footnotes,Footnote ak,fn Char1, Char,Char"/>
    <w:basedOn w:val="Norml"/>
    <w:link w:val="LbjegyzetszvegChar"/>
    <w:uiPriority w:val="99"/>
    <w:unhideWhenUsed/>
    <w:qFormat/>
    <w:rsid w:val="00335766"/>
    <w:pPr>
      <w:spacing w:after="0" w:line="240" w:lineRule="auto"/>
    </w:pPr>
    <w:rPr>
      <w:rFonts w:eastAsiaTheme="minorEastAsia"/>
      <w:sz w:val="20"/>
      <w:szCs w:val="20"/>
      <w:lang w:eastAsia="hu-HU"/>
    </w:rPr>
  </w:style>
  <w:style w:type="character" w:customStyle="1" w:styleId="LbjegyzetszvegChar">
    <w:name w:val="Lábjegyzetszöveg Char"/>
    <w:aliases w:val="EUMC_Lábjegyzetszöveg Char,Allmärkuse tekst Märk Char,fn Char,fn1 Char,fn2 Char,footnote text1 Char,fn3 Char,footnote text2 Char,footnote text Char,Text pozn. pod čarou Char Char,Footnote Text Char Char Char Char Char,fn Char1 Char"/>
    <w:basedOn w:val="Bekezdsalapbettpusa"/>
    <w:link w:val="Lbjegyzetszveg"/>
    <w:uiPriority w:val="99"/>
    <w:rsid w:val="00335766"/>
    <w:rPr>
      <w:rFonts w:eastAsiaTheme="minorEastAsia"/>
      <w:sz w:val="20"/>
      <w:szCs w:val="20"/>
      <w:lang w:eastAsia="hu-HU"/>
    </w:rPr>
  </w:style>
  <w:style w:type="paragraph" w:styleId="Listaszerbekezds">
    <w:name w:val="List Paragraph"/>
    <w:basedOn w:val="Norml"/>
    <w:uiPriority w:val="34"/>
    <w:qFormat/>
    <w:rsid w:val="00335766"/>
    <w:pPr>
      <w:spacing w:after="200" w:line="276" w:lineRule="auto"/>
      <w:ind w:left="720"/>
      <w:contextualSpacing/>
    </w:pPr>
    <w:rPr>
      <w:rFonts w:eastAsiaTheme="minorEastAsia"/>
      <w:lang w:eastAsia="hu-HU"/>
    </w:rPr>
  </w:style>
  <w:style w:type="character" w:styleId="Hiperhivatkozs">
    <w:name w:val="Hyperlink"/>
    <w:basedOn w:val="Bekezdsalapbettpusa"/>
    <w:uiPriority w:val="99"/>
    <w:unhideWhenUsed/>
    <w:rsid w:val="00335766"/>
    <w:rPr>
      <w:color w:val="0563C1" w:themeColor="hyperlink"/>
      <w:u w:val="single"/>
    </w:rPr>
  </w:style>
  <w:style w:type="character" w:styleId="Kiemels">
    <w:name w:val="Emphasis"/>
    <w:basedOn w:val="Bekezdsalapbettpusa"/>
    <w:uiPriority w:val="20"/>
    <w:qFormat/>
    <w:rsid w:val="00335766"/>
    <w:rPr>
      <w:i/>
      <w:iCs/>
    </w:rPr>
  </w:style>
  <w:style w:type="character" w:styleId="Kiemels2">
    <w:name w:val="Strong"/>
    <w:basedOn w:val="Bekezdsalapbettpusa"/>
    <w:uiPriority w:val="22"/>
    <w:qFormat/>
    <w:rsid w:val="00335766"/>
    <w:rPr>
      <w:b/>
      <w:bCs/>
    </w:rPr>
  </w:style>
  <w:style w:type="paragraph" w:customStyle="1" w:styleId="c01pointnumerotealtn">
    <w:name w:val="c01pointnumerotealtn"/>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335766"/>
    <w:rPr>
      <w:sz w:val="16"/>
      <w:szCs w:val="16"/>
    </w:rPr>
  </w:style>
  <w:style w:type="paragraph" w:styleId="Jegyzetszveg">
    <w:name w:val="annotation text"/>
    <w:basedOn w:val="Norml"/>
    <w:link w:val="JegyzetszvegChar"/>
    <w:uiPriority w:val="99"/>
    <w:semiHidden/>
    <w:unhideWhenUsed/>
    <w:rsid w:val="00335766"/>
    <w:pPr>
      <w:spacing w:after="200" w:line="240" w:lineRule="auto"/>
    </w:pPr>
    <w:rPr>
      <w:rFonts w:eastAsiaTheme="minorEastAsia"/>
      <w:sz w:val="20"/>
      <w:szCs w:val="20"/>
      <w:lang w:eastAsia="hu-HU"/>
    </w:rPr>
  </w:style>
  <w:style w:type="character" w:customStyle="1" w:styleId="JegyzetszvegChar">
    <w:name w:val="Jegyzetszöveg Char"/>
    <w:basedOn w:val="Bekezdsalapbettpusa"/>
    <w:link w:val="Jegyzetszveg"/>
    <w:uiPriority w:val="99"/>
    <w:semiHidden/>
    <w:rsid w:val="00335766"/>
    <w:rPr>
      <w:rFonts w:eastAsiaTheme="minorEastAsia"/>
      <w:sz w:val="20"/>
      <w:szCs w:val="20"/>
      <w:lang w:eastAsia="hu-HU"/>
    </w:rPr>
  </w:style>
  <w:style w:type="paragraph" w:styleId="Megjegyzstrgya">
    <w:name w:val="annotation subject"/>
    <w:basedOn w:val="Jegyzetszveg"/>
    <w:next w:val="Jegyzetszveg"/>
    <w:link w:val="MegjegyzstrgyaChar"/>
    <w:uiPriority w:val="99"/>
    <w:semiHidden/>
    <w:unhideWhenUsed/>
    <w:rsid w:val="00335766"/>
    <w:rPr>
      <w:b/>
      <w:bCs/>
    </w:rPr>
  </w:style>
  <w:style w:type="character" w:customStyle="1" w:styleId="MegjegyzstrgyaChar">
    <w:name w:val="Megjegyzés tárgya Char"/>
    <w:basedOn w:val="JegyzetszvegChar"/>
    <w:link w:val="Megjegyzstrgya"/>
    <w:uiPriority w:val="99"/>
    <w:semiHidden/>
    <w:rsid w:val="00335766"/>
    <w:rPr>
      <w:rFonts w:eastAsiaTheme="minorEastAsia"/>
      <w:b/>
      <w:bCs/>
      <w:sz w:val="20"/>
      <w:szCs w:val="20"/>
      <w:lang w:eastAsia="hu-HU"/>
    </w:rPr>
  </w:style>
  <w:style w:type="character" w:customStyle="1" w:styleId="Feloldatlanmegemlts1">
    <w:name w:val="Feloldatlan megemlítés1"/>
    <w:basedOn w:val="Bekezdsalapbettpusa"/>
    <w:uiPriority w:val="99"/>
    <w:semiHidden/>
    <w:unhideWhenUsed/>
    <w:rsid w:val="00335766"/>
    <w:rPr>
      <w:color w:val="605E5C"/>
      <w:shd w:val="clear" w:color="auto" w:fill="E1DFDD"/>
    </w:rPr>
  </w:style>
  <w:style w:type="paragraph" w:customStyle="1" w:styleId="oj-doc-ti">
    <w:name w:val="oj-doc-ti"/>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3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335766"/>
    <w:rPr>
      <w:rFonts w:ascii="Courier New" w:eastAsia="Times New Roman" w:hAnsi="Courier New" w:cs="Courier New"/>
      <w:sz w:val="20"/>
      <w:szCs w:val="20"/>
      <w:lang w:eastAsia="hu-HU"/>
    </w:rPr>
  </w:style>
  <w:style w:type="character" w:customStyle="1" w:styleId="y2iqfc">
    <w:name w:val="y2iqfc"/>
    <w:basedOn w:val="Bekezdsalapbettpusa"/>
    <w:rsid w:val="00335766"/>
  </w:style>
  <w:style w:type="paragraph" w:customStyle="1" w:styleId="c38centregrasgrandespacement">
    <w:name w:val="c38centregrasgrandespacement"/>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37centregras">
    <w:name w:val="c37centregras"/>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35766"/>
    <w:rPr>
      <w:color w:val="954F72" w:themeColor="followedHyperlink"/>
      <w:u w:val="single"/>
    </w:rPr>
  </w:style>
  <w:style w:type="paragraph" w:styleId="lfej">
    <w:name w:val="header"/>
    <w:basedOn w:val="Norml"/>
    <w:link w:val="lfejChar"/>
    <w:uiPriority w:val="99"/>
    <w:unhideWhenUsed/>
    <w:rsid w:val="00AF6E0B"/>
    <w:pPr>
      <w:tabs>
        <w:tab w:val="center" w:pos="4536"/>
        <w:tab w:val="right" w:pos="9072"/>
      </w:tabs>
      <w:spacing w:after="0" w:line="240" w:lineRule="auto"/>
    </w:pPr>
  </w:style>
  <w:style w:type="character" w:customStyle="1" w:styleId="lfejChar">
    <w:name w:val="Élőfej Char"/>
    <w:basedOn w:val="Bekezdsalapbettpusa"/>
    <w:link w:val="lfej"/>
    <w:uiPriority w:val="99"/>
    <w:rsid w:val="00AF6E0B"/>
    <w:rPr>
      <w:sz w:val="22"/>
      <w:szCs w:val="22"/>
    </w:rPr>
  </w:style>
  <w:style w:type="paragraph" w:styleId="llb">
    <w:name w:val="footer"/>
    <w:basedOn w:val="Norml"/>
    <w:link w:val="llbChar"/>
    <w:uiPriority w:val="99"/>
    <w:unhideWhenUsed/>
    <w:rsid w:val="00AF6E0B"/>
    <w:pPr>
      <w:tabs>
        <w:tab w:val="center" w:pos="4536"/>
        <w:tab w:val="right" w:pos="9072"/>
      </w:tabs>
      <w:spacing w:after="0" w:line="240" w:lineRule="auto"/>
    </w:pPr>
  </w:style>
  <w:style w:type="character" w:customStyle="1" w:styleId="llbChar">
    <w:name w:val="Élőláb Char"/>
    <w:basedOn w:val="Bekezdsalapbettpusa"/>
    <w:link w:val="llb"/>
    <w:uiPriority w:val="99"/>
    <w:rsid w:val="00AF6E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3366</Words>
  <Characters>23233</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2021-11-23T14:59:00Z</dcterms:created>
  <dcterms:modified xsi:type="dcterms:W3CDTF">2021-11-23T14:59:00Z</dcterms:modified>
</cp:coreProperties>
</file>