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339D" w14:textId="77777777" w:rsidR="009C6B4B" w:rsidRDefault="00335766" w:rsidP="00335766">
      <w:pPr>
        <w:pStyle w:val="Default"/>
      </w:pPr>
      <w:r w:rsidRPr="00EF3A89">
        <w:rPr>
          <w:b/>
          <w:bCs/>
          <w:u w:val="single"/>
        </w:rPr>
        <w:t>Jelmagyarázat:</w:t>
      </w:r>
    </w:p>
    <w:p w14:paraId="672CBBEE" w14:textId="0654436D" w:rsidR="00335766" w:rsidRDefault="009C6B4B" w:rsidP="00335766">
      <w:pPr>
        <w:pStyle w:val="Default"/>
      </w:pPr>
      <w:r>
        <w:t xml:space="preserve">– </w:t>
      </w:r>
      <w:r w:rsidR="00335766" w:rsidRPr="00EF3A89">
        <w:t xml:space="preserve">a </w:t>
      </w:r>
      <w:r w:rsidR="00335766" w:rsidRPr="00EF3A89">
        <w:rPr>
          <w:color w:val="FF0000"/>
        </w:rPr>
        <w:t xml:space="preserve">pirossal szedett címek </w:t>
      </w:r>
      <w:r w:rsidR="00335766">
        <w:rPr>
          <w:color w:val="000000" w:themeColor="text1"/>
        </w:rPr>
        <w:t>és a hozzájuk tartozó rövid</w:t>
      </w:r>
      <w:r>
        <w:rPr>
          <w:color w:val="000000" w:themeColor="text1"/>
        </w:rPr>
        <w:t>, felsorolásszerű ismertető</w:t>
      </w:r>
      <w:r w:rsidR="00335766">
        <w:rPr>
          <w:color w:val="000000" w:themeColor="text1"/>
        </w:rPr>
        <w:t xml:space="preserve"> </w:t>
      </w:r>
      <w:r w:rsidR="00335766" w:rsidRPr="00EF3A89">
        <w:t>nem részei a mintának</w:t>
      </w:r>
    </w:p>
    <w:p w14:paraId="69AB6B29" w14:textId="7F87640D" w:rsidR="009C6B4B" w:rsidRPr="00EF3A89" w:rsidRDefault="009C6B4B" w:rsidP="00335766">
      <w:pPr>
        <w:pStyle w:val="Default"/>
      </w:pPr>
      <w:r>
        <w:t>– a minták a leírás után a vonal alatt kez</w:t>
      </w:r>
      <w:r w:rsidR="00E774BB">
        <w:t>d</w:t>
      </w:r>
      <w:r>
        <w:t>ődnek</w:t>
      </w:r>
    </w:p>
    <w:p w14:paraId="3A3295FE" w14:textId="09BDA195" w:rsidR="00335766" w:rsidRDefault="00E774BB" w:rsidP="00335766">
      <w:pPr>
        <w:pStyle w:val="Default"/>
        <w:jc w:val="center"/>
        <w:rPr>
          <w:b/>
          <w:bCs/>
        </w:rPr>
      </w:pPr>
      <w:r>
        <w:rPr>
          <w:noProof/>
        </w:rPr>
        <mc:AlternateContent>
          <mc:Choice Requires="wps">
            <w:drawing>
              <wp:anchor distT="0" distB="0" distL="114300" distR="114300" simplePos="0" relativeHeight="251671552" behindDoc="0" locked="0" layoutInCell="1" allowOverlap="1" wp14:anchorId="4AEC7E76" wp14:editId="6EEA3401">
                <wp:simplePos x="0" y="0"/>
                <wp:positionH relativeFrom="column">
                  <wp:posOffset>0</wp:posOffset>
                </wp:positionH>
                <wp:positionV relativeFrom="paragraph">
                  <wp:posOffset>75565</wp:posOffset>
                </wp:positionV>
                <wp:extent cx="5816600" cy="0"/>
                <wp:effectExtent l="0" t="0" r="12700" b="12700"/>
                <wp:wrapNone/>
                <wp:docPr id="7" name="Egyenes összekötő 7"/>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Egyenes összekötő 7"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95pt" to="458pt,5.95pt" w14:anchorId="488DE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XwwEAAMUDAAAOAAAAZHJzL2Uyb0RvYy54bWysU0uO1DAQ3SNxB8t7OslI9IyiTs9iBtgg&#10;aPE5gMcpdyz8k8t0Em7BZeYCI+5F2d2dQYCEQGwcl13vVb3nyuZ6soYdIKL2ruPNquYMnPS9dvuO&#10;f/zw8tkVZ5iE64XxDjo+A/Lr7dMnmzG0cOEHb3qIjEgctmPo+JBSaKsK5QBW4MoHcHSpfLQiURj3&#10;VR/FSOzWVBd1va5GH/sQvQREOr09XvJt4VcKZHqrFEJipuPUWyprLOtdXqvtRrT7KMKg5akN8Q9d&#10;WKEdFV2obkUS7HPUv1BZLaNHr9JKelt5pbSEooHUNPVPat4PIkDRQuZgWGzC/0cr3xx2kem+45ec&#10;OWHpiV7sZ3CA7OEe8Qt8erhP376yy+zUGLAlwI3bxVOEYRez7ElFm78kiE3F3XlxF6bEJB0+v2rW&#10;65oeQZ7vqkdgiJhegbcsbzputMvCRSsOrzFRMUo9p1CQGzmWLrs0G8jJxr0DRWKoWFPQZYzgxkR2&#10;EDQAQkpwqclSiK9kZ5jSxizA+s/AU36GQhmxvwEviFLZu7SArXY+/q56ms4tq2P+2YGj7mzBne/n&#10;8ijFGpqVovA013kYf4wL/PHv234HAAD//wMAUEsDBBQABgAIAAAAIQAeq9J14AAAAAsBAAAPAAAA&#10;ZHJzL2Rvd25yZXYueG1sTI9BS8NAEIXvgv9hGcGb3aSHYtNsSqmItSClVWiP2+w0iWZnw+62Sf+9&#10;Ix70MjDfY968l88H24oL+tA4UpCOEhBIpTMNVQo+3p8fHkGEqMno1hEquGKAeXF7k+vMuJ62eNnF&#10;SrAJhUwrqGPsMilDWaPVYeQ6JNZOzlsdefWVNF73bG5bOU6SibS6If5Q6w6XNZZfu7NV8OZXq+Vi&#10;ff2kzcH2+/F6v3kdXpS6vxueZjwWMxARh/h3AT8dOD8UHOzozmSCaBVwm8g0nYJgdZpOGBx/gSxy&#10;+b9D8Q0AAP//AwBQSwECLQAUAAYACAAAACEAtoM4kv4AAADhAQAAEwAAAAAAAAAAAAAAAAAAAAAA&#10;W0NvbnRlbnRfVHlwZXNdLnhtbFBLAQItABQABgAIAAAAIQA4/SH/1gAAAJQBAAALAAAAAAAAAAAA&#10;AAAAAC8BAABfcmVscy8ucmVsc1BLAQItABQABgAIAAAAIQCvwZjXwwEAAMUDAAAOAAAAAAAAAAAA&#10;AAAAAC4CAABkcnMvZTJvRG9jLnhtbFBLAQItABQABgAIAAAAIQAeq9J14AAAAAsBAAAPAAAAAAAA&#10;AAAAAAAAAB0EAABkcnMvZG93bnJldi54bWxQSwUGAAAAAAQABADzAAAAKgUAAAAA&#10;">
                <v:stroke joinstyle="miter"/>
              </v:line>
            </w:pict>
          </mc:Fallback>
        </mc:AlternateContent>
      </w:r>
    </w:p>
    <w:p w14:paraId="41B106C4" w14:textId="77777777" w:rsidR="00335766" w:rsidRDefault="00335766" w:rsidP="00E75A0A">
      <w:pPr>
        <w:pStyle w:val="Default"/>
        <w:jc w:val="center"/>
        <w:rPr>
          <w:b/>
          <w:bCs/>
        </w:rPr>
      </w:pPr>
      <w:r w:rsidRPr="00EF3A89">
        <w:rPr>
          <w:b/>
          <w:bCs/>
          <w:color w:val="000000" w:themeColor="text1"/>
        </w:rPr>
        <w:t xml:space="preserve">1. </w:t>
      </w:r>
      <w:r w:rsidRPr="00F5154B">
        <w:rPr>
          <w:b/>
          <w:bCs/>
          <w:color w:val="FF0000"/>
        </w:rPr>
        <w:t>DÖNTVÉNY</w:t>
      </w:r>
      <w:r>
        <w:rPr>
          <w:b/>
          <w:bCs/>
          <w:color w:val="FF0000"/>
        </w:rPr>
        <w:t>:</w:t>
      </w:r>
    </w:p>
    <w:p w14:paraId="3F5D70B5" w14:textId="5B200A18" w:rsidR="00335766" w:rsidRPr="00EF3A89" w:rsidRDefault="00335766" w:rsidP="00335766">
      <w:pPr>
        <w:pStyle w:val="Default"/>
      </w:pPr>
      <w:r w:rsidRPr="00EF3A89">
        <w:t>– nincsenek lábjegyzetek</w:t>
      </w:r>
    </w:p>
    <w:p w14:paraId="17B78F4A" w14:textId="11DD4468" w:rsidR="00335766" w:rsidRDefault="00335766" w:rsidP="00335766">
      <w:pPr>
        <w:pStyle w:val="Default"/>
      </w:pPr>
      <w:r w:rsidRPr="00335766">
        <w:t>– nincsenek köztescímek</w:t>
      </w:r>
    </w:p>
    <w:p w14:paraId="34EDEF68" w14:textId="7095FBC1" w:rsidR="00335766" w:rsidRPr="00DC245F" w:rsidRDefault="007E2015" w:rsidP="00DC245F">
      <w:pPr>
        <w:pStyle w:val="Default"/>
      </w:pPr>
      <w:r>
        <w:rPr>
          <w:noProof/>
        </w:rPr>
        <mc:AlternateContent>
          <mc:Choice Requires="wps">
            <w:drawing>
              <wp:anchor distT="0" distB="0" distL="114300" distR="114300" simplePos="0" relativeHeight="251659264" behindDoc="0" locked="0" layoutInCell="1" allowOverlap="1" wp14:anchorId="7AD1CF38" wp14:editId="5949E758">
                <wp:simplePos x="0" y="0"/>
                <wp:positionH relativeFrom="column">
                  <wp:posOffset>5715</wp:posOffset>
                </wp:positionH>
                <wp:positionV relativeFrom="paragraph">
                  <wp:posOffset>54610</wp:posOffset>
                </wp:positionV>
                <wp:extent cx="5816600" cy="0"/>
                <wp:effectExtent l="0" t="0" r="12700" b="12700"/>
                <wp:wrapNone/>
                <wp:docPr id="2" name="Egyenes összekötő 2"/>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Egyenes összekötő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5pt,4.3pt" to="458.45pt,4.3pt" w14:anchorId="222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vwwEAAMUDAAAOAAAAZHJzL2Uyb0RvYy54bWysU0uO1DAQ3SNxB8t7OklLtEZRp2cxA2wQ&#10;tPgcwOOUOxb+yWU6CbfgMnOBEfei7O7OIEBCIDaOy673qt5zZXs9WcOOEFF71/FmVXMGTvpeu0PH&#10;P354+eyKM0zC9cJ4Bx2fAfn17umT7RhaWPvBmx4iIxKH7Rg6PqQU2qpCOYAVuPIBHF0qH61IFMZD&#10;1UcxErs11bquN9XoYx+il4BIp7enS74r/EqBTG+VQkjMdJx6S2WNZb3La7XbivYQRRi0PLch/qEL&#10;K7SjogvVrUiCfY76FyqrZfToVVpJbyuvlJZQNJCapv5JzftBBChayBwMi034/2jlm+M+Mt13fM2Z&#10;E5ae6MVhBgfIHu4Rv8Cnh/v07StbZ6fGgC0Bbtw+niMM+5hlTyra/CVBbCruzou7MCUm6fD5VbPZ&#10;1PQI8nJXPQJDxPQKvGV503GjXRYuWnF8jYmKUeolhYLcyKl02aXZQE427h0oEkPFmoIuYwQ3JrKj&#10;oAEQUoJLTZZCfCU7w5Q2ZgHWfwae8zMUyoj9DXhBlMrepQVstfPxd9XTdGlZnfIvDpx0ZwvufD+X&#10;RynW0KwUhee5zsP4Y1zgj3/f7jsAAAD//wMAUEsDBBQABgAIAAAAIQC8Fa7U4AAAAAkBAAAPAAAA&#10;ZHJzL2Rvd25yZXYueG1sTI9BS8NAEIXvgv9hGcGb3bSH0KbZlFIRa0GKVajHbXaapGZnw+62Sf+9&#10;oxe9DHy8mTfv5YvBtuKCPjSOFIxHCQik0pmGKgUf708PUxAhajK6dYQKrhhgUdze5Dozrqc3vOxi&#10;JdiEQqYV1DF2mZShrNHqMHIdEmtH562OjL6SxuuezW0rJ0mSSqsb4g+17nBVY/m1O1sFr369Xi03&#10;1xNtP22/n2z225fhWan7u+FxzmM5BxFxiH8X8NOB80PBwQ7uTCaIVsGM9xRMUxAszsYp8+GXZZHL&#10;/w2KbwAAAP//AwBQSwECLQAUAAYACAAAACEAtoM4kv4AAADhAQAAEwAAAAAAAAAAAAAAAAAAAAAA&#10;W0NvbnRlbnRfVHlwZXNdLnhtbFBLAQItABQABgAIAAAAIQA4/SH/1gAAAJQBAAALAAAAAAAAAAAA&#10;AAAAAC8BAABfcmVscy8ucmVsc1BLAQItABQABgAIAAAAIQBbsnFvwwEAAMUDAAAOAAAAAAAAAAAA&#10;AAAAAC4CAABkcnMvZTJvRG9jLnhtbFBLAQItABQABgAIAAAAIQC8Fa7U4AAAAAkBAAAPAAAAAAAA&#10;AAAAAAAAAB0EAABkcnMvZG93bnJldi54bWxQSwUGAAAAAAQABADzAAAAKgUAAAAA&#10;">
                <v:stroke joinstyle="miter"/>
              </v:line>
            </w:pict>
          </mc:Fallback>
        </mc:AlternateContent>
      </w:r>
    </w:p>
    <w:p w14:paraId="27064120" w14:textId="77777777" w:rsidR="00335766" w:rsidRPr="00976EEF" w:rsidRDefault="00335766" w:rsidP="00335766">
      <w:pPr>
        <w:pStyle w:val="Default"/>
        <w:jc w:val="center"/>
        <w:rPr>
          <w:b/>
          <w:bCs/>
        </w:rPr>
      </w:pPr>
      <w:r w:rsidRPr="00976EEF">
        <w:rPr>
          <w:b/>
          <w:bCs/>
        </w:rPr>
        <w:t>EUD2021. 1.</w:t>
      </w:r>
    </w:p>
    <w:p w14:paraId="35FD2205" w14:textId="77777777" w:rsidR="00335766" w:rsidRPr="00976EEF" w:rsidRDefault="00335766" w:rsidP="00335766">
      <w:pPr>
        <w:pStyle w:val="Default"/>
        <w:jc w:val="center"/>
      </w:pPr>
    </w:p>
    <w:p w14:paraId="4B0EF8E6" w14:textId="77777777" w:rsidR="00335766" w:rsidRDefault="00335766" w:rsidP="00335766">
      <w:pPr>
        <w:pStyle w:val="Default"/>
        <w:jc w:val="center"/>
        <w:rPr>
          <w:b/>
          <w:bCs/>
        </w:rPr>
      </w:pPr>
      <w:r w:rsidRPr="00976EEF">
        <w:rPr>
          <w:b/>
          <w:bCs/>
        </w:rPr>
        <w:t>Magyarország, valamint az Európai Unió pénzügyi érdekeit sértő szabálytalanság megállapítása és a támogatási szerződésben vállalt kötelezettség megszegése megalapozza a támogatási szerződéstől való elállást</w:t>
      </w:r>
    </w:p>
    <w:p w14:paraId="186F7CA7" w14:textId="77777777" w:rsidR="00335766" w:rsidRPr="00976EEF" w:rsidRDefault="00335766" w:rsidP="00335766">
      <w:pPr>
        <w:pStyle w:val="Default"/>
        <w:jc w:val="center"/>
        <w:rPr>
          <w:b/>
          <w:bCs/>
        </w:rPr>
      </w:pPr>
    </w:p>
    <w:p w14:paraId="080DD821" w14:textId="77777777" w:rsidR="00335766" w:rsidRDefault="00335766" w:rsidP="00335766">
      <w:pPr>
        <w:pStyle w:val="Default"/>
        <w:jc w:val="both"/>
        <w:rPr>
          <w:i/>
          <w:iCs/>
        </w:rPr>
      </w:pPr>
      <w:r w:rsidRPr="00976EEF">
        <w:rPr>
          <w:i/>
          <w:iCs/>
        </w:rPr>
        <w:t>Eredeti ügyszám: Kúria Pfv.V.20.165/2021/5.</w:t>
      </w:r>
    </w:p>
    <w:p w14:paraId="16292C14" w14:textId="77777777" w:rsidR="00335766" w:rsidRPr="00976EEF" w:rsidRDefault="00335766" w:rsidP="00335766">
      <w:pPr>
        <w:pStyle w:val="Default"/>
        <w:jc w:val="both"/>
        <w:rPr>
          <w:i/>
          <w:iCs/>
        </w:rPr>
      </w:pPr>
    </w:p>
    <w:p w14:paraId="448CB6AF" w14:textId="77777777" w:rsidR="00335766" w:rsidRDefault="00335766" w:rsidP="00335766">
      <w:pPr>
        <w:pStyle w:val="Default"/>
        <w:jc w:val="both"/>
        <w:rPr>
          <w:i/>
          <w:iCs/>
        </w:rPr>
      </w:pPr>
      <w:r w:rsidRPr="00976EEF">
        <w:rPr>
          <w:i/>
          <w:iCs/>
        </w:rPr>
        <w:t>Alkalmazott jogszabályhelyek: a Polgári Törvénykönyvről szóló 1959. évi IV. törvény 319. § (3) bekezdés, 320. § (1) bekezdés; a 2007</w:t>
      </w:r>
      <w:r>
        <w:rPr>
          <w:i/>
          <w:iCs/>
        </w:rPr>
        <w:t>–</w:t>
      </w:r>
      <w:r w:rsidRPr="00976EEF">
        <w:rPr>
          <w:i/>
          <w:iCs/>
        </w:rPr>
        <w:t>2013 programozási időszakban az Európai Regionális Fejlesztési Alapból, az Európai Szociális Alapból és a Kohéziós Alapból származó támogatások felhasználásának rendjéről szóló 4/2011. (I. 28.) Korm. rendelet 123. §; a polgári perrendtartásról szóló 1952. évi III. törvény 206. § (1) bekezdés</w:t>
      </w:r>
    </w:p>
    <w:p w14:paraId="654932FC" w14:textId="77777777" w:rsidR="00335766" w:rsidRPr="00976EEF" w:rsidRDefault="00335766" w:rsidP="00335766">
      <w:pPr>
        <w:pStyle w:val="Default"/>
        <w:jc w:val="both"/>
        <w:rPr>
          <w:i/>
          <w:iCs/>
        </w:rPr>
      </w:pPr>
    </w:p>
    <w:p w14:paraId="4435DE77" w14:textId="77777777" w:rsidR="00335766" w:rsidRDefault="00335766" w:rsidP="00335766">
      <w:pPr>
        <w:pStyle w:val="Default"/>
        <w:jc w:val="both"/>
        <w:rPr>
          <w:i/>
          <w:iCs/>
        </w:rPr>
      </w:pPr>
      <w:r w:rsidRPr="00976EEF">
        <w:rPr>
          <w:i/>
          <w:iCs/>
        </w:rPr>
        <w:t xml:space="preserve">Címkék: Európai Regionális Fejlesztési Alap, </w:t>
      </w:r>
      <w:r w:rsidRPr="00976EEF">
        <w:rPr>
          <w:i/>
          <w:iCs/>
          <w:kern w:val="24"/>
        </w:rPr>
        <w:t>irányító hatóság,</w:t>
      </w:r>
      <w:r w:rsidRPr="00976EEF">
        <w:rPr>
          <w:i/>
          <w:iCs/>
        </w:rPr>
        <w:t xml:space="preserve"> pályázat, projekt, szabálytalanság, szabálytalansági eljárás, támogatás, </w:t>
      </w:r>
      <w:r w:rsidRPr="00976EEF">
        <w:rPr>
          <w:i/>
          <w:iCs/>
          <w:kern w:val="24"/>
        </w:rPr>
        <w:t>támogatási jogviszony,</w:t>
      </w:r>
      <w:r w:rsidRPr="00976EEF">
        <w:rPr>
          <w:i/>
          <w:iCs/>
        </w:rPr>
        <w:t xml:space="preserve"> támogatási összeg, támogatási szerződés, támogatói okirat, vállalkozásfejlesztés</w:t>
      </w:r>
    </w:p>
    <w:p w14:paraId="61A44ACD" w14:textId="77777777" w:rsidR="00335766" w:rsidRPr="00976EEF" w:rsidRDefault="00335766" w:rsidP="00335766">
      <w:pPr>
        <w:pStyle w:val="Default"/>
        <w:jc w:val="both"/>
        <w:rPr>
          <w:i/>
          <w:iCs/>
        </w:rPr>
      </w:pPr>
    </w:p>
    <w:p w14:paraId="76D696ED" w14:textId="77777777" w:rsidR="00335766" w:rsidRPr="00976EEF" w:rsidRDefault="00335766" w:rsidP="00335766">
      <w:pPr>
        <w:pStyle w:val="Standard"/>
        <w:tabs>
          <w:tab w:val="left" w:pos="570"/>
        </w:tabs>
      </w:pPr>
      <w:r w:rsidRPr="00976EEF">
        <w:rPr>
          <w:kern w:val="24"/>
        </w:rPr>
        <w:t xml:space="preserve">[1] Az alperes </w:t>
      </w:r>
      <w:proofErr w:type="gramStart"/>
      <w:r w:rsidRPr="00976EEF">
        <w:rPr>
          <w:kern w:val="24"/>
        </w:rPr>
        <w:t>jogelődje</w:t>
      </w:r>
      <w:proofErr w:type="gramEnd"/>
      <w:r w:rsidRPr="00976EEF">
        <w:rPr>
          <w:kern w:val="24"/>
        </w:rPr>
        <w:t xml:space="preserve"> mint az operatív program irányításáért és végrehajtásáért felelős szervezeti egység</w:t>
      </w:r>
      <w:r w:rsidRPr="00976EEF">
        <w:t xml:space="preserve"> (a továbbiakban:</w:t>
      </w:r>
      <w:r w:rsidRPr="00976EEF">
        <w:rPr>
          <w:kern w:val="24"/>
        </w:rPr>
        <w:t xml:space="preserve"> irányító hatóság) 2012-ben vállalkozásfejlesztést célzó pályázatot írt ki</w:t>
      </w:r>
      <w:r w:rsidRPr="00976EEF">
        <w:t xml:space="preserve">. A felperes e pályázati </w:t>
      </w:r>
      <w:r w:rsidRPr="00976EEF">
        <w:rPr>
          <w:kern w:val="24"/>
        </w:rPr>
        <w:t xml:space="preserve">kiírására pályázatot nyújtott be, amelyet az irányító hatóság támogatásra alkalmasnak minősített. Ennek eredményeként az irányító hatóság 2013-ban támogatói okiratot bocsátott ki, amelynek révén a nevében közreműködő szervezet és a támogatásban részesített </w:t>
      </w:r>
      <w:proofErr w:type="gramStart"/>
      <w:r w:rsidRPr="00976EEF">
        <w:rPr>
          <w:kern w:val="24"/>
        </w:rPr>
        <w:t>felperes</w:t>
      </w:r>
      <w:proofErr w:type="gramEnd"/>
      <w:r w:rsidRPr="00976EEF">
        <w:rPr>
          <w:kern w:val="24"/>
        </w:rPr>
        <w:t xml:space="preserve"> mint kedvezményezett között támogatási jogviszony jött létre. A többször módosított támogatói okirat szerint </w:t>
      </w:r>
      <w:r w:rsidRPr="00976EEF">
        <w:t xml:space="preserve">a támogatási jogviszony tárgya a projektadatlap és hozzá tartozó mellékletben rögzített </w:t>
      </w:r>
      <w:r w:rsidRPr="00976EEF">
        <w:rPr>
          <w:iCs/>
        </w:rPr>
        <w:t>projekt</w:t>
      </w:r>
      <w:r w:rsidRPr="00976EEF">
        <w:t xml:space="preserve"> elszámolható költségeinek vissza nem térítendő támogatás formájában történő utófinanszírozása, 85%-ban az Európai Regionális Fejlesztési Alapból és 15%-ban a hazai központi költségvetési irányzatból.</w:t>
      </w:r>
    </w:p>
    <w:p w14:paraId="2168F6FD" w14:textId="4D397F30" w:rsidR="00335766" w:rsidRDefault="00335766" w:rsidP="00335766">
      <w:pPr>
        <w:pStyle w:val="Standard"/>
        <w:tabs>
          <w:tab w:val="left" w:pos="570"/>
        </w:tabs>
      </w:pPr>
      <w:r w:rsidRPr="00976EEF">
        <w:t>[2] A projekt fizikai befejezése a beruházás utolsó elemének megvalósulásához kötődik. A záró beszámoló és a záró kifizetési igénylés benyújtásának határideje a projekt fizikai befejezését követő nap, de legkésőbb 2014. március 31-e. A projekt akkor minősül befejezettnek, ha a támogatott tevékenység a támogatói okiratban meghatározottak szerint teljesült, a megvalósítás során keletkezett számlák kiegyenlítése megtörtént, a támogatással létrehozott vagy beszerzett eszközt aktiválták és a kedvezményezettnek a támogatott tevékenység befejezését tanúsító hatósági engedélyekkel és bizonylatokkal alátámasztott záróbeszámolóját, pénzügyi elszámolását a közreműködő szervezet jóváhagyta és a költségvetésből nyújtott támogatás folyósítása, az igazolt támogatás felhasználásának megfelelő mértékben megtörtént. A projekt akkor lezárt, ha valamennyi vállalt kötelezettség – erre irányuló vállalás esetén a támogatott tevékenység befejezését követő időszakra is kiterjedően – teljesült, és a kedvezményezett az eredményekről szóló záró projektfenntartási jelentését benyújtotta, továbbá azt a támogató jóváhagyta.</w:t>
      </w:r>
    </w:p>
    <w:p w14:paraId="4344D04E" w14:textId="77777777" w:rsidR="00FD6B54" w:rsidRPr="00976EEF" w:rsidRDefault="00FD6B54" w:rsidP="00FD6B54">
      <w:pPr>
        <w:pStyle w:val="Standard"/>
        <w:tabs>
          <w:tab w:val="left" w:pos="570"/>
        </w:tabs>
      </w:pPr>
      <w:r w:rsidRPr="00976EEF">
        <w:lastRenderedPageBreak/>
        <w:t>[3] A projekt áfával növelt összköltsége 15</w:t>
      </w:r>
      <w:r>
        <w:t> </w:t>
      </w:r>
      <w:r w:rsidRPr="00976EEF">
        <w:t>237</w:t>
      </w:r>
      <w:r>
        <w:t> </w:t>
      </w:r>
      <w:r w:rsidRPr="00976EEF">
        <w:t>000 forint volt. A támogatás mértéke a projekt elszámolható költségének 45%-a, de legfeljebb 6</w:t>
      </w:r>
      <w:r>
        <w:t> </w:t>
      </w:r>
      <w:r w:rsidRPr="00976EEF">
        <w:t>856</w:t>
      </w:r>
      <w:r>
        <w:t> </w:t>
      </w:r>
      <w:r w:rsidRPr="00976EEF">
        <w:t>650 forint. A teljes összeg 85%-</w:t>
      </w:r>
      <w:proofErr w:type="spellStart"/>
      <w:r w:rsidRPr="00976EEF">
        <w:t>ának</w:t>
      </w:r>
      <w:proofErr w:type="spellEnd"/>
      <w:r w:rsidRPr="00976EEF">
        <w:t>, azaz 5</w:t>
      </w:r>
      <w:r>
        <w:t> </w:t>
      </w:r>
      <w:r w:rsidRPr="00976EEF">
        <w:t>828</w:t>
      </w:r>
      <w:r>
        <w:t> </w:t>
      </w:r>
      <w:r w:rsidRPr="00976EEF">
        <w:t>153 forintnak a forrása az Európai Regionális Fejlesztési Alap, 15%-a, azaz 1</w:t>
      </w:r>
      <w:r>
        <w:t> </w:t>
      </w:r>
      <w:r w:rsidRPr="00976EEF">
        <w:t>028</w:t>
      </w:r>
      <w:r>
        <w:t> </w:t>
      </w:r>
      <w:r w:rsidRPr="00976EEF">
        <w:t>498 forint pedig Magyarország központi költségvetéséből származott.</w:t>
      </w:r>
    </w:p>
    <w:p w14:paraId="41F82AA9" w14:textId="77777777" w:rsidR="00FD6B54" w:rsidRPr="00976EEF" w:rsidRDefault="00FD6B54" w:rsidP="00FD6B54">
      <w:pPr>
        <w:pStyle w:val="Standard"/>
        <w:tabs>
          <w:tab w:val="left" w:pos="570"/>
        </w:tabs>
      </w:pPr>
      <w:r w:rsidRPr="00976EEF">
        <w:t xml:space="preserve">[4] A támogatói okiratnak az általános szerződési feltételek (a továbbiakban: ÁSZF) is a részét képezték. Az ÁSZF 7.1.3. </w:t>
      </w:r>
      <w:r w:rsidRPr="00976EEF">
        <w:rPr>
          <w:i/>
          <w:iCs/>
        </w:rPr>
        <w:t>a)</w:t>
      </w:r>
      <w:r w:rsidRPr="00976EEF">
        <w:t xml:space="preserve">, </w:t>
      </w:r>
      <w:r w:rsidRPr="00976EEF">
        <w:rPr>
          <w:i/>
          <w:iCs/>
        </w:rPr>
        <w:t>b)</w:t>
      </w:r>
      <w:r w:rsidRPr="00976EEF">
        <w:t xml:space="preserve">, </w:t>
      </w:r>
      <w:r w:rsidRPr="00976EEF">
        <w:rPr>
          <w:i/>
          <w:iCs/>
        </w:rPr>
        <w:t>e)</w:t>
      </w:r>
      <w:r w:rsidRPr="00976EEF">
        <w:t xml:space="preserve"> pontjai értelmében a szerződés kedvezményezett általi megszegésének minősül, ha</w:t>
      </w:r>
    </w:p>
    <w:p w14:paraId="68896591" w14:textId="77777777" w:rsidR="00FD6B54" w:rsidRPr="00976EEF" w:rsidRDefault="00FD6B54" w:rsidP="00FD6B54">
      <w:pPr>
        <w:pStyle w:val="Standard"/>
        <w:tabs>
          <w:tab w:val="left" w:pos="570"/>
        </w:tabs>
      </w:pPr>
      <w:r w:rsidRPr="00976EEF">
        <w:rPr>
          <w:i/>
          <w:iCs/>
        </w:rPr>
        <w:t>a)</w:t>
      </w:r>
      <w:r w:rsidRPr="00976EEF">
        <w:t xml:space="preserve"> a kedvezményezett a szerződés, annak melléklete vagy az ÁSZF teljesítésével összefüggésben keletkezett, jogszabályon vagy a szerződésen alapuló egyéb kötelezettségét megszegi, annak nem, vagy határidőben nem tesz eleget, így különösen, ha a kedvezményezett a projekt támogathatósága szempontjából releváns körülményekben bekövetkezett változás folytán már nem felel meg a pályázati feltételeknek;</w:t>
      </w:r>
    </w:p>
    <w:p w14:paraId="7A0A5326" w14:textId="77777777" w:rsidR="00FD6B54" w:rsidRPr="00976EEF" w:rsidRDefault="00FD6B54" w:rsidP="00FD6B54">
      <w:pPr>
        <w:pStyle w:val="Standard"/>
        <w:tabs>
          <w:tab w:val="left" w:pos="570"/>
        </w:tabs>
      </w:pPr>
      <w:r w:rsidRPr="00976EEF">
        <w:rPr>
          <w:i/>
          <w:iCs/>
        </w:rPr>
        <w:t>b)</w:t>
      </w:r>
      <w:r w:rsidRPr="00976EEF">
        <w:t xml:space="preserve"> a kedvezményezett nem tesz eleget, illetve határidőben nem tesz eleget a szerződésben, ÁSZF-ben vagy a jogszabályban foglalt tájékoztatási, bejelentési, nyilatkozattételi, információszolgáltatási és egyéb együttműködési kötelezettségének;</w:t>
      </w:r>
      <w:r>
        <w:t xml:space="preserve"> </w:t>
      </w:r>
      <w:r w:rsidRPr="007E3FB1">
        <w:t>[…]</w:t>
      </w:r>
    </w:p>
    <w:p w14:paraId="31D13E03" w14:textId="6D8B287D" w:rsidR="00FD6B54" w:rsidRPr="00976EEF" w:rsidRDefault="00FD6B54" w:rsidP="00335766">
      <w:pPr>
        <w:pStyle w:val="Standard"/>
        <w:tabs>
          <w:tab w:val="left" w:pos="570"/>
        </w:tabs>
      </w:pPr>
      <w:r w:rsidRPr="00976EEF">
        <w:rPr>
          <w:i/>
          <w:iCs/>
        </w:rPr>
        <w:t>e)</w:t>
      </w:r>
      <w:r w:rsidRPr="00976EEF">
        <w:t xml:space="preserve"> ha a kedvezményezett a projekt fenntartási időszakára előírt kötelezettségét nem teljesíti.</w:t>
      </w:r>
    </w:p>
    <w:p w14:paraId="52D8092C" w14:textId="77777777" w:rsidR="00335766" w:rsidRPr="00976EEF" w:rsidRDefault="00335766" w:rsidP="00335766">
      <w:pPr>
        <w:pStyle w:val="Standard"/>
        <w:tabs>
          <w:tab w:val="left" w:pos="570"/>
        </w:tabs>
      </w:pPr>
    </w:p>
    <w:p w14:paraId="44E4BED7" w14:textId="77777777" w:rsidR="00335766" w:rsidRPr="00976EEF" w:rsidRDefault="00335766" w:rsidP="00335766">
      <w:pPr>
        <w:pStyle w:val="Standard"/>
        <w:tabs>
          <w:tab w:val="left" w:pos="570"/>
        </w:tabs>
        <w:rPr>
          <w:i/>
          <w:iCs/>
        </w:rPr>
      </w:pPr>
      <w:r w:rsidRPr="00976EEF">
        <w:rPr>
          <w:i/>
          <w:iCs/>
        </w:rPr>
        <w:t>Eljáró bíróság: Kúria</w:t>
      </w:r>
      <w:r>
        <w:rPr>
          <w:i/>
          <w:iCs/>
        </w:rPr>
        <w:t xml:space="preserve">, </w:t>
      </w:r>
      <w:r w:rsidRPr="00B87E5A">
        <w:rPr>
          <w:i/>
          <w:iCs/>
        </w:rPr>
        <w:t>2021. április 29.</w:t>
      </w:r>
    </w:p>
    <w:p w14:paraId="167A207D" w14:textId="77777777" w:rsidR="00335766" w:rsidRPr="00976EEF" w:rsidRDefault="00335766" w:rsidP="00335766">
      <w:pPr>
        <w:pStyle w:val="Standard"/>
        <w:tabs>
          <w:tab w:val="left" w:pos="570"/>
        </w:tabs>
        <w:rPr>
          <w:i/>
          <w:iCs/>
        </w:rPr>
      </w:pPr>
    </w:p>
    <w:p w14:paraId="34842156" w14:textId="77D3C84A" w:rsidR="00335766" w:rsidRDefault="00335766" w:rsidP="00335766">
      <w:pPr>
        <w:pStyle w:val="Default"/>
        <w:jc w:val="both"/>
        <w:rPr>
          <w:i/>
          <w:iCs/>
        </w:rPr>
      </w:pPr>
      <w:r w:rsidRPr="00976EEF">
        <w:rPr>
          <w:i/>
          <w:iCs/>
        </w:rPr>
        <w:t>Ügyszám: PFV.V.20.165/2021/5</w:t>
      </w:r>
      <w:r>
        <w:rPr>
          <w:i/>
          <w:iCs/>
        </w:rPr>
        <w:t>.</w:t>
      </w:r>
    </w:p>
    <w:p w14:paraId="12B7BA98" w14:textId="77777777" w:rsidR="00890D7D" w:rsidRPr="00976EEF" w:rsidRDefault="00890D7D" w:rsidP="00335766">
      <w:pPr>
        <w:pStyle w:val="Default"/>
        <w:jc w:val="both"/>
      </w:pPr>
    </w:p>
    <w:p w14:paraId="4BFFA361" w14:textId="5984BBF2" w:rsidR="00335766" w:rsidRPr="00976EEF" w:rsidRDefault="00335766" w:rsidP="4B428B2C">
      <w:pPr>
        <w:pStyle w:val="Default"/>
        <w:jc w:val="both"/>
        <w:rPr>
          <w:i/>
          <w:iCs/>
        </w:rPr>
      </w:pPr>
      <w:r w:rsidRPr="4B428B2C">
        <w:rPr>
          <w:i/>
          <w:iCs/>
        </w:rPr>
        <w:t>(Megjelent: EU Jog, 2021/1–2. sz.)</w:t>
      </w:r>
    </w:p>
    <w:p w14:paraId="292B907D" w14:textId="77777777" w:rsidR="00335766" w:rsidRPr="00976EEF" w:rsidRDefault="00335766" w:rsidP="00335766">
      <w:pPr>
        <w:pStyle w:val="Default"/>
        <w:jc w:val="both"/>
        <w:rPr>
          <w:i/>
          <w:iCs/>
        </w:rPr>
      </w:pPr>
    </w:p>
    <w:p w14:paraId="7AB782DF" w14:textId="77777777" w:rsidR="00B92E7E" w:rsidRDefault="00335766" w:rsidP="00335766">
      <w:pPr>
        <w:pStyle w:val="Default"/>
        <w:jc w:val="both"/>
        <w:rPr>
          <w:i/>
          <w:iCs/>
        </w:rPr>
        <w:sectPr w:rsidR="00B92E7E" w:rsidSect="00335766">
          <w:footnotePr>
            <w:numRestart w:val="eachSect"/>
          </w:footnotePr>
          <w:type w:val="continuous"/>
          <w:pgSz w:w="11906" w:h="16838"/>
          <w:pgMar w:top="1417" w:right="1417" w:bottom="1417" w:left="1417" w:header="708" w:footer="708" w:gutter="0"/>
          <w:cols w:space="708"/>
        </w:sectPr>
      </w:pPr>
      <w:r w:rsidRPr="00976EEF">
        <w:rPr>
          <w:i/>
          <w:iCs/>
        </w:rPr>
        <w:t xml:space="preserve">Szerkesztette: Dr. </w:t>
      </w:r>
      <w:proofErr w:type="spellStart"/>
      <w:r w:rsidRPr="00976EEF">
        <w:rPr>
          <w:i/>
          <w:iCs/>
        </w:rPr>
        <w:t>Selnicean</w:t>
      </w:r>
      <w:proofErr w:type="spellEnd"/>
      <w:r w:rsidRPr="00976EEF">
        <w:rPr>
          <w:i/>
          <w:iCs/>
        </w:rPr>
        <w:t xml:space="preserve"> László</w:t>
      </w:r>
    </w:p>
    <w:p w14:paraId="0F885893" w14:textId="5710A951" w:rsidR="00335766" w:rsidRDefault="00E75A0A" w:rsidP="00335766">
      <w:pPr>
        <w:pStyle w:val="Default"/>
        <w:jc w:val="both"/>
        <w:rPr>
          <w:i/>
          <w:iCs/>
        </w:rPr>
      </w:pPr>
      <w:r>
        <w:rPr>
          <w:noProof/>
        </w:rPr>
        <w:lastRenderedPageBreak/>
        <mc:AlternateContent>
          <mc:Choice Requires="wps">
            <w:drawing>
              <wp:anchor distT="0" distB="0" distL="114300" distR="114300" simplePos="0" relativeHeight="251673600" behindDoc="0" locked="0" layoutInCell="1" allowOverlap="1" wp14:anchorId="353C6CAE" wp14:editId="6A222A65">
                <wp:simplePos x="0" y="0"/>
                <wp:positionH relativeFrom="column">
                  <wp:posOffset>0</wp:posOffset>
                </wp:positionH>
                <wp:positionV relativeFrom="paragraph">
                  <wp:posOffset>0</wp:posOffset>
                </wp:positionV>
                <wp:extent cx="5816600" cy="0"/>
                <wp:effectExtent l="0" t="0" r="12700" b="12700"/>
                <wp:wrapNone/>
                <wp:docPr id="8" name="Egyenes összekötő 8"/>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Egyenes összekötő 8"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0" to="458pt,0" w14:anchorId="7FCD7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LFwgEAAMUDAAAOAAAAZHJzL2Uyb0RvYy54bWysU12O0zAQfkfiDpbfaZKVqKqo6T7sAi8I&#10;Kn4O4HXGjYX/5DFNwi24zF5gxb0Yu20WARIC8TLx2PPNzPfNZHs9WcOOEFF71/FmVXMGTvpeu0PH&#10;P354+WzDGSbhemG8g47PgPx69/TJdgwtXPnBmx4ioyQO2zF0fEgptFWFcgArcOUDOHpUPlqRyI2H&#10;qo9ipOzWVFd1va5GH/sQvQREur09PfJdya8UyPRWKYTETMept1RsLPYu22q3Fe0hijBoeW5D/EMX&#10;VmhHRZdUtyIJ9jnqX1JZLaNHr9JKelt5pbSEwoHYNPVPbN4PIkDhQuJgWGTC/5dWvjnuI9N9x2lQ&#10;Tlga0YvDDA6QPdwjfoFPD/fp21e2yUqNAVsC3Lh9PHsY9jHTnlS0+UuE2FTUnRd1YUpM0uXzTbNe&#10;1zQEeXmrHoEhYnoF3rJ86LjRLhMXrTi+xkTFKPQSQk5u5FS6nNJsIAcb9w4UkaFiTUGXNYIbE9lR&#10;0AIIKcGlJlOhfCU6w5Q2ZgHWfwae4zMUyor9DXhBlMrepQVstfPxd9XTdGlZneIvCpx4ZwnufD+X&#10;oRRpaFcKw/Ne52X80S/wx79v9x0AAP//AwBQSwMEFAAGAAgAAAAhAC2Np5jcAAAABwEAAA8AAABk&#10;cnMvZG93bnJldi54bWxMj0FrwkAQhe8F/8Myhd7qRg/SxmxELKVWKKIt2OOanSap2dmwu5r47zv2&#10;opcHj8e8+V42620jTuhD7UjBaJiAQCqcqalU8PX5+vgEIkRNRjeOUMEZA8zywV2mU+M62uBpG0vB&#10;JRRSraCKsU2lDEWFVoeha5E4+3He6sjWl9J43XG5beQ4SSbS6pr4Q6VbXFRYHLZHq+DDL5eL+er8&#10;S+tv2+3Gq936vX9T6uG+f5myzKcgIvbxegGXDcwPOYPt3ZFMEI0CXhP/lbPn0YTt/mJlnslb/vwP&#10;AAD//wMAUEsBAi0AFAAGAAgAAAAhALaDOJL+AAAA4QEAABMAAAAAAAAAAAAAAAAAAAAAAFtDb250&#10;ZW50X1R5cGVzXS54bWxQSwECLQAUAAYACAAAACEAOP0h/9YAAACUAQAACwAAAAAAAAAAAAAAAAAv&#10;AQAAX3JlbHMvLnJlbHNQSwECLQAUAAYACAAAACEA8lPSxcIBAADFAwAADgAAAAAAAAAAAAAAAAAu&#10;AgAAZHJzL2Uyb0RvYy54bWxQSwECLQAUAAYACAAAACEALY2nmNwAAAAHAQAADwAAAAAAAAAAAAAA&#10;AAAcBAAAZHJzL2Rvd25yZXYueG1sUEsFBgAAAAAEAAQA8wAAACUFAAAAAA==&#10;">
                <v:stroke joinstyle="miter"/>
              </v:line>
            </w:pict>
          </mc:Fallback>
        </mc:AlternateContent>
      </w:r>
    </w:p>
    <w:p w14:paraId="5D74B4C6" w14:textId="3CFC1D4B" w:rsidR="00701997" w:rsidRDefault="00701997" w:rsidP="00E75A0A">
      <w:pPr>
        <w:pStyle w:val="Default"/>
        <w:jc w:val="center"/>
        <w:rPr>
          <w:b/>
          <w:bCs/>
          <w:color w:val="FF0000"/>
        </w:rPr>
      </w:pPr>
      <w:r>
        <w:rPr>
          <w:b/>
          <w:bCs/>
          <w:color w:val="000000" w:themeColor="text1"/>
        </w:rPr>
        <w:t>2</w:t>
      </w:r>
      <w:r w:rsidRPr="00EF3A89">
        <w:rPr>
          <w:b/>
          <w:bCs/>
          <w:color w:val="000000" w:themeColor="text1"/>
        </w:rPr>
        <w:t xml:space="preserve">. </w:t>
      </w:r>
      <w:r>
        <w:rPr>
          <w:b/>
          <w:bCs/>
          <w:color w:val="FF0000"/>
        </w:rPr>
        <w:t>TANULMÁNY:</w:t>
      </w:r>
    </w:p>
    <w:p w14:paraId="2EFC89D5" w14:textId="77777777" w:rsidR="00235CC9" w:rsidRDefault="00235CC9" w:rsidP="00822D28">
      <w:pPr>
        <w:pStyle w:val="Default"/>
        <w:rPr>
          <w:b/>
          <w:bCs/>
        </w:rPr>
      </w:pPr>
    </w:p>
    <w:p w14:paraId="36A5F438" w14:textId="022DD4FB" w:rsidR="00335766" w:rsidRPr="00235CC9" w:rsidRDefault="00701997"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xml:space="preserve">– </w:t>
      </w:r>
      <w:r w:rsidR="00235CC9" w:rsidRPr="00235CC9">
        <w:rPr>
          <w:rFonts w:ascii="Times New Roman" w:eastAsia="Times New Roman" w:hAnsi="Times New Roman" w:cs="Times New Roman"/>
          <w:bCs/>
          <w:sz w:val="24"/>
          <w:szCs w:val="24"/>
        </w:rPr>
        <w:t>lehetnek alcímek</w:t>
      </w:r>
    </w:p>
    <w:p w14:paraId="33504573" w14:textId="240C2464" w:rsidR="00235CC9" w:rsidRPr="00235CC9" w:rsidRDefault="00235CC9"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 alatt a bekezdésszámozás folyamatos</w:t>
      </w:r>
    </w:p>
    <w:p w14:paraId="00DCE946" w14:textId="24DA53BA" w:rsidR="00235CC9" w:rsidRPr="00235CC9" w:rsidRDefault="00235CC9"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alcímekhez többszintű decimális számozást is lehet használni</w:t>
      </w:r>
    </w:p>
    <w:p w14:paraId="73A8E9C3" w14:textId="40F7F1B3" w:rsidR="00235CC9" w:rsidRPr="007E2015" w:rsidRDefault="00235CC9"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w:t>
      </w:r>
      <w:r w:rsidR="00FD6B54">
        <w:rPr>
          <w:rFonts w:ascii="Times New Roman" w:eastAsia="Times New Roman" w:hAnsi="Times New Roman" w:cs="Times New Roman"/>
          <w:bCs/>
          <w:sz w:val="24"/>
          <w:szCs w:val="24"/>
        </w:rPr>
        <w:t xml:space="preserve"> </w:t>
      </w:r>
      <w:r w:rsidRPr="00235CC9">
        <w:rPr>
          <w:rFonts w:ascii="Times New Roman" w:eastAsia="Times New Roman" w:hAnsi="Times New Roman" w:cs="Times New Roman"/>
          <w:bCs/>
          <w:sz w:val="24"/>
          <w:szCs w:val="24"/>
        </w:rPr>
        <w:t>vannak lábjegyzetek – ezeknek a formátuma kötött, a mintában szereplő módon kell megjelenniük</w:t>
      </w:r>
      <w:r w:rsidR="00026AEE">
        <w:rPr>
          <w:rFonts w:ascii="Times New Roman" w:eastAsia="Times New Roman" w:hAnsi="Times New Roman" w:cs="Times New Roman"/>
          <w:bCs/>
          <w:sz w:val="24"/>
          <w:szCs w:val="24"/>
        </w:rPr>
        <w:t xml:space="preserve"> mind a döntvényeknek, mind a szakirodalmi hivatkozásoknak</w:t>
      </w:r>
    </w:p>
    <w:p w14:paraId="0B3D4242" w14:textId="482391C0" w:rsidR="00DC245F" w:rsidRDefault="00DC245F" w:rsidP="00701997">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179B604C" wp14:editId="47C6DFB4">
                <wp:simplePos x="0" y="0"/>
                <wp:positionH relativeFrom="column">
                  <wp:posOffset>0</wp:posOffset>
                </wp:positionH>
                <wp:positionV relativeFrom="paragraph">
                  <wp:posOffset>67098</wp:posOffset>
                </wp:positionV>
                <wp:extent cx="5816600" cy="0"/>
                <wp:effectExtent l="0" t="0" r="12700" b="12700"/>
                <wp:wrapNone/>
                <wp:docPr id="4" name="Egyenes összekötő 4"/>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Egyenes összekötő 4"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3pt" to="458pt,5.3pt" w14:anchorId="17719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AJwwEAAMUDAAAOAAAAZHJzL2Uyb0RvYy54bWysU0uO1DAQ3SNxB8t7OsloaI2iTs9iBtgg&#10;aPE5gMcpdyz8k8t0Em7BZeYCI+5F2d2dQYCEQGwcl13vVb3nyuZ6soYdIKL2ruPNquYMnPS9dvuO&#10;f/zw8tkVZ5iE64XxDjo+A/Lr7dMnmzG0cOEHb3qIjEgctmPo+JBSaKsK5QBW4MoHcHSpfLQiURj3&#10;VR/FSOzWVBd1va5GH/sQvQREOr09XvJt4VcKZHqrFEJipuPUWyprLOtdXqvtRrT7KMKg5akN8Q9d&#10;WKEdFV2obkUS7HPUv1BZLaNHr9JKelt5pbSEooHUNPVPat4PIkDRQuZgWGzC/0cr3xx2kem+45ec&#10;OWHpiV7sZ3CA7OEe8Qt8erhP376yy+zUGLAlwI3bxVOEYRez7ElFm78kiE3F3XlxF6bEJB0+v2rW&#10;65oeQZ7vqkdgiJhegbcsbzputMvCRSsOrzFRMUo9p1CQGzmWLrs0G8jJxr0DRWKoWFPQZYzgxkR2&#10;EDQAQkpwqclSiK9kZ5jSxizA+s/AU36GQhmxvwEviFLZu7SArXY+/q56ms4tq2P+2YGj7mzBne/n&#10;8ijFGpqVovA013kYf4wL/PHv234HAAD//wMAUEsDBBQABgAIAAAAIQDOg8r/4AAAAAsBAAAPAAAA&#10;ZHJzL2Rvd25yZXYueG1sTI9BS8NAEIXvQv/DMgVvdtMegqbZlNIi1oIUq1CP2+yYxGZnw+62Sf+9&#10;Ix70MjDfY968ly8G24oL+tA4UjCdJCCQSmcaqhS8vz3e3YMIUZPRrSNUcMUAi2J0k+vMuJ5e8bKP&#10;lWATCplWUMfYZVKGskarw8R1SKx9Om915NVX0njds7lt5SxJUml1Q/yh1h2uaixP+7NV8OI3m9Vy&#10;e/2i3YftD7PtYfc8PCl1Ox7Wcx7LOYiIQ/y7gJ8OnB8KDnZ0ZzJBtAq4TWSapCBYfZimDI6/QBa5&#10;/N+h+AYAAP//AwBQSwECLQAUAAYACAAAACEAtoM4kv4AAADhAQAAEwAAAAAAAAAAAAAAAAAAAAAA&#10;W0NvbnRlbnRfVHlwZXNdLnhtbFBLAQItABQABgAIAAAAIQA4/SH/1gAAAJQBAAALAAAAAAAAAAAA&#10;AAAAAC8BAABfcmVscy8ucmVsc1BLAQItABQABgAIAAAAIQA87RAJwwEAAMUDAAAOAAAAAAAAAAAA&#10;AAAAAC4CAABkcnMvZTJvRG9jLnhtbFBLAQItABQABgAIAAAAIQDOg8r/4AAAAAsBAAAPAAAAAAAA&#10;AAAAAAAAAB0EAABkcnMvZG93bnJldi54bWxQSwUGAAAAAAQABADzAAAAKgUAAAAA&#10;">
                <v:stroke joinstyle="miter"/>
              </v:line>
            </w:pict>
          </mc:Fallback>
        </mc:AlternateContent>
      </w:r>
    </w:p>
    <w:p w14:paraId="1CA7E5B6" w14:textId="1D0D33F5" w:rsidR="00235CC9" w:rsidRPr="00650993" w:rsidRDefault="00235CC9" w:rsidP="4B428B2C">
      <w:pPr>
        <w:spacing w:after="0" w:line="240" w:lineRule="auto"/>
        <w:jc w:val="center"/>
        <w:rPr>
          <w:rFonts w:ascii="Times New Roman" w:eastAsia="Times New Roman" w:hAnsi="Times New Roman" w:cs="Times New Roman"/>
          <w:b/>
          <w:bCs/>
          <w:sz w:val="24"/>
          <w:szCs w:val="24"/>
        </w:rPr>
      </w:pPr>
      <w:r w:rsidRPr="4B428B2C">
        <w:rPr>
          <w:rFonts w:ascii="Times New Roman" w:eastAsia="Times New Roman" w:hAnsi="Times New Roman" w:cs="Times New Roman"/>
          <w:b/>
          <w:bCs/>
          <w:sz w:val="24"/>
          <w:szCs w:val="24"/>
        </w:rPr>
        <w:t>EU Jog 2021/1–2. – Tanulmány</w:t>
      </w:r>
    </w:p>
    <w:p w14:paraId="70242665" w14:textId="77777777" w:rsidR="00235CC9" w:rsidRPr="00650993" w:rsidRDefault="00235CC9" w:rsidP="00235CC9">
      <w:pPr>
        <w:spacing w:after="0" w:line="240" w:lineRule="auto"/>
        <w:jc w:val="center"/>
        <w:rPr>
          <w:rFonts w:ascii="Times New Roman" w:eastAsia="Times New Roman" w:hAnsi="Times New Roman" w:cs="Times New Roman"/>
          <w:b/>
          <w:sz w:val="24"/>
          <w:szCs w:val="24"/>
        </w:rPr>
      </w:pPr>
    </w:p>
    <w:p w14:paraId="35E1E222" w14:textId="77777777" w:rsidR="00235CC9" w:rsidRPr="00650993" w:rsidRDefault="00235CC9" w:rsidP="00235CC9">
      <w:pPr>
        <w:spacing w:after="0" w:line="240" w:lineRule="auto"/>
        <w:jc w:val="center"/>
        <w:rPr>
          <w:rFonts w:ascii="Times New Roman" w:eastAsia="Times New Roman" w:hAnsi="Times New Roman" w:cs="Times New Roman"/>
          <w:b/>
          <w:sz w:val="24"/>
          <w:szCs w:val="24"/>
        </w:rPr>
      </w:pPr>
      <w:r w:rsidRPr="00650993">
        <w:rPr>
          <w:rFonts w:ascii="Times New Roman" w:eastAsia="Times New Roman" w:hAnsi="Times New Roman" w:cs="Times New Roman"/>
          <w:b/>
          <w:sz w:val="24"/>
          <w:szCs w:val="24"/>
        </w:rPr>
        <w:t>Orbán Endre:</w:t>
      </w:r>
      <w:r w:rsidRPr="00650993">
        <w:rPr>
          <w:rStyle w:val="Lbjegyzet-hivatkozs"/>
          <w:rFonts w:ascii="Times New Roman" w:eastAsia="Times New Roman" w:hAnsi="Times New Roman" w:cs="Times New Roman"/>
          <w:b/>
          <w:sz w:val="24"/>
          <w:szCs w:val="24"/>
        </w:rPr>
        <w:footnoteReference w:id="1"/>
      </w:r>
      <w:r w:rsidRPr="00650993">
        <w:rPr>
          <w:rFonts w:ascii="Times New Roman" w:eastAsia="Times New Roman" w:hAnsi="Times New Roman" w:cs="Times New Roman"/>
          <w:b/>
          <w:sz w:val="24"/>
          <w:szCs w:val="24"/>
        </w:rPr>
        <w:t xml:space="preserve"> A bírói függetlenség értelmezése körüli legújabb dilemmák az Alkotmánybíróság és az Európai Unió Bírósága gyakorlatában</w:t>
      </w:r>
    </w:p>
    <w:p w14:paraId="35AD0C7E" w14:textId="77777777" w:rsidR="00235CC9" w:rsidRPr="00650993" w:rsidRDefault="00235CC9" w:rsidP="00235CC9">
      <w:pPr>
        <w:spacing w:after="0" w:line="240" w:lineRule="auto"/>
        <w:jc w:val="center"/>
        <w:rPr>
          <w:rFonts w:ascii="Times New Roman" w:eastAsia="Times New Roman" w:hAnsi="Times New Roman" w:cs="Times New Roman"/>
          <w:b/>
          <w:sz w:val="24"/>
          <w:szCs w:val="24"/>
          <w:highlight w:val="yellow"/>
        </w:rPr>
      </w:pPr>
    </w:p>
    <w:p w14:paraId="4AC504F4" w14:textId="77777777" w:rsidR="00235CC9" w:rsidRPr="00650993" w:rsidRDefault="00235CC9" w:rsidP="00235CC9">
      <w:pPr>
        <w:spacing w:after="0" w:line="240" w:lineRule="auto"/>
        <w:jc w:val="both"/>
        <w:rPr>
          <w:rFonts w:ascii="Times New Roman" w:hAnsi="Times New Roman" w:cs="Times New Roman"/>
          <w:i/>
          <w:sz w:val="24"/>
          <w:szCs w:val="24"/>
        </w:rPr>
      </w:pPr>
      <w:r w:rsidRPr="00650993">
        <w:rPr>
          <w:rFonts w:ascii="Times New Roman" w:hAnsi="Times New Roman" w:cs="Times New Roman"/>
          <w:i/>
          <w:sz w:val="24"/>
          <w:szCs w:val="24"/>
        </w:rPr>
        <w:t>A joghoz való hozzáférés, illetve a törvényes bíróhoz való alapjog tényleges és hatékony megvalósulása alapvető követelmény a jogállami alapokon szervezett alkotmányos demokrácia fenntarthatósága körében. E területen ugyanakkor az Európai Unió jogrendszere egyre több kihívással szembesül, így az utóbbi években több, a fundamentumokat érintő jelentős ügy is az Európai Unió Bírósága elé került. Mindezek közül kiemelkednek a lengyel igazságszolgáltatási rendszer átalakítása nyomán a</w:t>
      </w:r>
      <w:r>
        <w:rPr>
          <w:rFonts w:ascii="Times New Roman" w:hAnsi="Times New Roman" w:cs="Times New Roman"/>
          <w:i/>
          <w:sz w:val="24"/>
          <w:szCs w:val="24"/>
        </w:rPr>
        <w:t xml:space="preserve"> </w:t>
      </w:r>
      <w:r w:rsidRPr="00650993">
        <w:rPr>
          <w:rFonts w:ascii="Times New Roman" w:hAnsi="Times New Roman" w:cs="Times New Roman"/>
          <w:i/>
          <w:sz w:val="24"/>
          <w:szCs w:val="24"/>
        </w:rPr>
        <w:t>B</w:t>
      </w:r>
      <w:r>
        <w:rPr>
          <w:rFonts w:ascii="Times New Roman" w:hAnsi="Times New Roman" w:cs="Times New Roman"/>
          <w:i/>
          <w:sz w:val="24"/>
          <w:szCs w:val="24"/>
        </w:rPr>
        <w:t>íróság</w:t>
      </w:r>
      <w:r w:rsidRPr="00650993">
        <w:rPr>
          <w:rFonts w:ascii="Times New Roman" w:hAnsi="Times New Roman" w:cs="Times New Roman"/>
          <w:i/>
          <w:sz w:val="24"/>
          <w:szCs w:val="24"/>
        </w:rPr>
        <w:t xml:space="preserve"> elé kerülő kérdések, de találunk portugál, máltai, romániai és hazai vonatkozású eseteket is. A tanulmány célja kettős: egyrészt megvizsgálja a bírói függetlenség körében született legújabb hazai alkotmánybírósági döntéseket</w:t>
      </w:r>
      <w:r>
        <w:rPr>
          <w:rFonts w:ascii="Times New Roman" w:hAnsi="Times New Roman" w:cs="Times New Roman"/>
          <w:i/>
          <w:sz w:val="24"/>
          <w:szCs w:val="24"/>
        </w:rPr>
        <w:t>,</w:t>
      </w:r>
      <w:r w:rsidRPr="00650993">
        <w:rPr>
          <w:rFonts w:ascii="Times New Roman" w:hAnsi="Times New Roman" w:cs="Times New Roman"/>
          <w:i/>
          <w:sz w:val="24"/>
          <w:szCs w:val="24"/>
        </w:rPr>
        <w:t xml:space="preserve"> különös tekintettel az uniós vonatkozású ügyekre, majd az Európai Unió Bírósága előtti ügyeket tárgyalja.</w:t>
      </w:r>
    </w:p>
    <w:p w14:paraId="035BF3EA" w14:textId="77777777" w:rsidR="00235CC9" w:rsidRPr="00650993" w:rsidRDefault="00235CC9" w:rsidP="00235CC9">
      <w:pPr>
        <w:spacing w:after="0" w:line="240" w:lineRule="auto"/>
        <w:rPr>
          <w:rFonts w:ascii="Times New Roman" w:eastAsia="Times New Roman" w:hAnsi="Times New Roman" w:cs="Times New Roman"/>
          <w:i/>
          <w:sz w:val="24"/>
          <w:szCs w:val="24"/>
        </w:rPr>
      </w:pPr>
    </w:p>
    <w:p w14:paraId="79A9015D" w14:textId="77777777" w:rsidR="00235CC9" w:rsidRPr="00650993" w:rsidRDefault="00235CC9" w:rsidP="00235CC9">
      <w:pPr>
        <w:spacing w:after="0" w:line="240" w:lineRule="auto"/>
        <w:rPr>
          <w:rFonts w:ascii="Times New Roman" w:eastAsia="Times New Roman" w:hAnsi="Times New Roman" w:cs="Times New Roman"/>
          <w:i/>
          <w:sz w:val="24"/>
          <w:szCs w:val="24"/>
        </w:rPr>
      </w:pPr>
      <w:r w:rsidRPr="00650993">
        <w:rPr>
          <w:rFonts w:ascii="Times New Roman" w:eastAsia="Times New Roman" w:hAnsi="Times New Roman" w:cs="Times New Roman"/>
          <w:i/>
          <w:sz w:val="24"/>
          <w:szCs w:val="24"/>
        </w:rPr>
        <w:t>Hivatkozott jogszabályhelyek: Alaptörvény XXVIII. cikk (1), Alaptörvény 26. cikk (1), EUSZ 2. cikk, EUSZ 19. cikk, EUSZ 49. cikk, Alapjogi Charta 47. cikk.</w:t>
      </w:r>
    </w:p>
    <w:p w14:paraId="63A6572D" w14:textId="77777777" w:rsidR="00235CC9" w:rsidRPr="00650993" w:rsidRDefault="00235CC9" w:rsidP="00235CC9">
      <w:pPr>
        <w:spacing w:after="0" w:line="240" w:lineRule="auto"/>
        <w:jc w:val="center"/>
        <w:rPr>
          <w:rFonts w:ascii="Times New Roman" w:eastAsia="Times New Roman" w:hAnsi="Times New Roman" w:cs="Times New Roman"/>
          <w:b/>
          <w:sz w:val="24"/>
          <w:szCs w:val="24"/>
          <w:highlight w:val="yellow"/>
        </w:rPr>
      </w:pPr>
    </w:p>
    <w:p w14:paraId="7F6B4611" w14:textId="77777777" w:rsidR="00235CC9" w:rsidRPr="00650993" w:rsidRDefault="00235CC9" w:rsidP="00235CC9">
      <w:pPr>
        <w:spacing w:after="0" w:line="240" w:lineRule="auto"/>
        <w:rPr>
          <w:rFonts w:ascii="Times New Roman" w:eastAsia="Times New Roman" w:hAnsi="Times New Roman" w:cs="Times New Roman"/>
          <w:i/>
          <w:sz w:val="24"/>
          <w:szCs w:val="24"/>
        </w:rPr>
      </w:pPr>
      <w:r w:rsidRPr="00650993">
        <w:rPr>
          <w:rFonts w:ascii="Times New Roman" w:eastAsia="Times New Roman" w:hAnsi="Times New Roman" w:cs="Times New Roman"/>
          <w:i/>
          <w:sz w:val="24"/>
          <w:szCs w:val="24"/>
        </w:rPr>
        <w:t>Címkék: bírói függetlenség, jogállamiság, lengyel igazságszolgáltatás, fegyelmi tanács, bírói nyugdíjkorhatár, elsőbbség elve, előzetes döntéshozatali eljárás, európai alkotmányos tér</w:t>
      </w:r>
    </w:p>
    <w:p w14:paraId="53141545" w14:textId="77777777" w:rsidR="00235CC9" w:rsidRPr="00650993" w:rsidRDefault="00235CC9" w:rsidP="00235CC9">
      <w:pPr>
        <w:spacing w:after="0" w:line="240" w:lineRule="auto"/>
        <w:jc w:val="both"/>
        <w:rPr>
          <w:rFonts w:ascii="Times New Roman" w:hAnsi="Times New Roman" w:cs="Times New Roman"/>
          <w:sz w:val="24"/>
          <w:szCs w:val="24"/>
        </w:rPr>
      </w:pPr>
    </w:p>
    <w:p w14:paraId="06471B6E" w14:textId="77777777" w:rsidR="00235CC9" w:rsidRPr="00BD3590" w:rsidRDefault="00235CC9" w:rsidP="00235CC9">
      <w:pPr>
        <w:spacing w:after="0" w:line="240" w:lineRule="auto"/>
        <w:jc w:val="center"/>
        <w:rPr>
          <w:rFonts w:ascii="Times New Roman" w:hAnsi="Times New Roman" w:cs="Times New Roman"/>
          <w:b/>
          <w:i/>
          <w:iCs/>
          <w:sz w:val="24"/>
          <w:szCs w:val="24"/>
        </w:rPr>
      </w:pPr>
      <w:r w:rsidRPr="00BD3590">
        <w:rPr>
          <w:rFonts w:ascii="Times New Roman" w:hAnsi="Times New Roman" w:cs="Times New Roman"/>
          <w:b/>
          <w:i/>
          <w:iCs/>
          <w:sz w:val="24"/>
          <w:szCs w:val="24"/>
        </w:rPr>
        <w:t>4. Bírói függetlenség az Európai Unió Bírósága legújabb gyakorlatában</w:t>
      </w:r>
    </w:p>
    <w:p w14:paraId="70F4106B" w14:textId="77777777" w:rsidR="00235CC9" w:rsidRPr="00650993" w:rsidRDefault="00235CC9" w:rsidP="00235CC9">
      <w:pPr>
        <w:spacing w:after="0" w:line="240" w:lineRule="auto"/>
        <w:jc w:val="both"/>
        <w:rPr>
          <w:rFonts w:ascii="Times New Roman" w:hAnsi="Times New Roman" w:cs="Times New Roman"/>
          <w:sz w:val="24"/>
          <w:szCs w:val="24"/>
        </w:rPr>
      </w:pPr>
      <w:r w:rsidRPr="009635A6">
        <w:rPr>
          <w:rFonts w:ascii="Times New Roman" w:hAnsi="Times New Roman" w:cs="Times New Roman"/>
          <w:sz w:val="24"/>
          <w:szCs w:val="24"/>
        </w:rPr>
        <w:t>[1</w:t>
      </w:r>
      <w:r>
        <w:rPr>
          <w:rFonts w:ascii="Times New Roman" w:hAnsi="Times New Roman" w:cs="Times New Roman"/>
          <w:sz w:val="24"/>
          <w:szCs w:val="24"/>
        </w:rPr>
        <w:t>5</w:t>
      </w:r>
      <w:r w:rsidRPr="009635A6">
        <w:rPr>
          <w:rFonts w:ascii="Times New Roman" w:hAnsi="Times New Roman" w:cs="Times New Roman"/>
          <w:sz w:val="24"/>
          <w:szCs w:val="24"/>
        </w:rPr>
        <w:t xml:space="preserve">] </w:t>
      </w:r>
      <w:r w:rsidRPr="00650993">
        <w:rPr>
          <w:rFonts w:ascii="Times New Roman" w:hAnsi="Times New Roman" w:cs="Times New Roman"/>
          <w:sz w:val="24"/>
          <w:szCs w:val="24"/>
        </w:rPr>
        <w:t xml:space="preserve">A bírói függetlenség elve, amint az a fenti magyar példán keresztül is látható, valójában a tagállamok közös alkotmányos hagyományaiban gyökerezik. A független ítélkezés a jogállam működésének </w:t>
      </w:r>
      <w:r w:rsidRPr="00650993">
        <w:rPr>
          <w:rFonts w:ascii="Times New Roman" w:hAnsi="Times New Roman" w:cs="Times New Roman"/>
          <w:i/>
          <w:sz w:val="24"/>
          <w:szCs w:val="24"/>
        </w:rPr>
        <w:t xml:space="preserve">sine qua </w:t>
      </w:r>
      <w:proofErr w:type="spellStart"/>
      <w:r w:rsidRPr="00650993">
        <w:rPr>
          <w:rFonts w:ascii="Times New Roman" w:hAnsi="Times New Roman" w:cs="Times New Roman"/>
          <w:i/>
          <w:sz w:val="24"/>
          <w:szCs w:val="24"/>
        </w:rPr>
        <w:t>non</w:t>
      </w:r>
      <w:r w:rsidRPr="00650993">
        <w:rPr>
          <w:rFonts w:ascii="Times New Roman" w:hAnsi="Times New Roman" w:cs="Times New Roman"/>
          <w:sz w:val="24"/>
          <w:szCs w:val="24"/>
        </w:rPr>
        <w:t>ja</w:t>
      </w:r>
      <w:proofErr w:type="spellEnd"/>
      <w:r w:rsidRPr="00650993">
        <w:rPr>
          <w:rFonts w:ascii="Times New Roman" w:hAnsi="Times New Roman" w:cs="Times New Roman"/>
          <w:sz w:val="24"/>
          <w:szCs w:val="24"/>
        </w:rPr>
        <w:t xml:space="preserve"> és egyben a polgárok jogállamba vetett bizalmának előfeltétele. Amennyiben ez megkérdőjeleződik, a függetlenség percepciója elvész, az abba vetett bizalom megrendül, úgy az egész alkotmányos intézményrendszer kerül veszélybe. </w:t>
      </w:r>
    </w:p>
    <w:p w14:paraId="5E26C152"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[1</w:t>
      </w:r>
      <w:r>
        <w:rPr>
          <w:rFonts w:ascii="Times New Roman" w:hAnsi="Times New Roman" w:cs="Times New Roman"/>
          <w:sz w:val="24"/>
          <w:szCs w:val="24"/>
        </w:rPr>
        <w:t>6</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Mindez elementáris erővel vetődik fel nem csupán a tagállam</w:t>
      </w:r>
      <w:r>
        <w:rPr>
          <w:rFonts w:ascii="Times New Roman" w:hAnsi="Times New Roman" w:cs="Times New Roman"/>
          <w:sz w:val="24"/>
          <w:szCs w:val="24"/>
        </w:rPr>
        <w:t>i</w:t>
      </w:r>
      <w:r w:rsidRPr="00650993">
        <w:rPr>
          <w:rFonts w:ascii="Times New Roman" w:hAnsi="Times New Roman" w:cs="Times New Roman"/>
          <w:sz w:val="24"/>
          <w:szCs w:val="24"/>
        </w:rPr>
        <w:t>, hanem összeurópai szinten is. Az Európai Unió maga ugyanis jogrendszer,</w:t>
      </w:r>
      <w:r w:rsidRPr="00650993">
        <w:rPr>
          <w:rStyle w:val="Lbjegyzet-hivatkozs"/>
          <w:rFonts w:ascii="Times New Roman" w:hAnsi="Times New Roman" w:cs="Times New Roman"/>
          <w:sz w:val="24"/>
          <w:szCs w:val="24"/>
        </w:rPr>
        <w:footnoteReference w:id="2"/>
      </w:r>
      <w:r w:rsidRPr="00650993">
        <w:rPr>
          <w:rFonts w:ascii="Times New Roman" w:hAnsi="Times New Roman" w:cs="Times New Roman"/>
          <w:sz w:val="24"/>
          <w:szCs w:val="24"/>
        </w:rPr>
        <w:t xml:space="preserve"> amelyet bíróságok hálózata kényszerít ki, amelynek csúcspontjában a luxemburgi székhelyű testület áll. Az EUB mellett az egyes tagállami bíróságok azok, amelyek az uniós jog végrehajtása során uniós bíróságként működnek. Ahogy azt az EUSZ 19. cikke megfogalmazza</w:t>
      </w:r>
      <w:r>
        <w:rPr>
          <w:rFonts w:ascii="Times New Roman" w:hAnsi="Times New Roman" w:cs="Times New Roman"/>
          <w:sz w:val="24"/>
          <w:szCs w:val="24"/>
        </w:rPr>
        <w:t>,</w:t>
      </w:r>
      <w:r w:rsidRPr="00650993">
        <w:rPr>
          <w:rFonts w:ascii="Times New Roman" w:hAnsi="Times New Roman" w:cs="Times New Roman"/>
          <w:sz w:val="24"/>
          <w:szCs w:val="24"/>
        </w:rPr>
        <w:t xml:space="preserve"> „a tagállamok megteremtik azokat a jogorvoslati lehetőségeket, amelyek az uniós jog által szabályozott területeken a hatékony </w:t>
      </w:r>
      <w:r w:rsidRPr="00650993">
        <w:rPr>
          <w:rFonts w:ascii="Times New Roman" w:hAnsi="Times New Roman" w:cs="Times New Roman"/>
          <w:sz w:val="24"/>
          <w:szCs w:val="24"/>
        </w:rPr>
        <w:lastRenderedPageBreak/>
        <w:t>jogvédelem biztosításához szükségesek”</w:t>
      </w:r>
      <w:r>
        <w:rPr>
          <w:rFonts w:ascii="Times New Roman" w:hAnsi="Times New Roman" w:cs="Times New Roman"/>
          <w:sz w:val="24"/>
          <w:szCs w:val="24"/>
        </w:rPr>
        <w:t>.</w:t>
      </w:r>
      <w:r w:rsidRPr="00650993">
        <w:rPr>
          <w:rFonts w:ascii="Times New Roman" w:hAnsi="Times New Roman" w:cs="Times New Roman"/>
          <w:sz w:val="24"/>
          <w:szCs w:val="24"/>
        </w:rPr>
        <w:t xml:space="preserve"> Amennyiben tehát a nemzeti bíróságok függetlensége sérül, az egyben azt is jelenti, hogy másik szerepükben, mint uniós bíróságoknak a függetlensége is sérül, és egyben elveszítik azt a képességüket, hogy az EUSZ 2. cikkében foglalt értékek közül a jogállamiság fenntartásában elfoglalt szerepüket betöltsék. Mindezt pedig az Alapjogi Charta 47. cikke alapjogi oldalról is megfogalmazza, amikor rögzíti a hatékony bírósági jogorvoslathoz való jogot minden olyan jogalany számára, aki egy adott ügyben az uniós jog alapján őt megillető jogra hivatkozik.</w:t>
      </w:r>
    </w:p>
    <w:p w14:paraId="0FD348B9"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[1</w:t>
      </w:r>
      <w:r>
        <w:rPr>
          <w:rFonts w:ascii="Times New Roman" w:hAnsi="Times New Roman" w:cs="Times New Roman"/>
          <w:sz w:val="24"/>
          <w:szCs w:val="24"/>
        </w:rPr>
        <w:t>7</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Mindazonáltal nemcsak vertikális irányban van jelentősége a tagállami bíróságok függetlenségének, hanem horizontálisan is. A belső piac keretében kidolgozott kölcsö</w:t>
      </w:r>
      <w:r>
        <w:rPr>
          <w:rFonts w:ascii="Times New Roman" w:hAnsi="Times New Roman" w:cs="Times New Roman"/>
          <w:sz w:val="24"/>
          <w:szCs w:val="24"/>
        </w:rPr>
        <w:t>n</w:t>
      </w:r>
      <w:r w:rsidRPr="00650993">
        <w:rPr>
          <w:rFonts w:ascii="Times New Roman" w:hAnsi="Times New Roman" w:cs="Times New Roman"/>
          <w:sz w:val="24"/>
          <w:szCs w:val="24"/>
        </w:rPr>
        <w:t>ös elismerés elve,</w:t>
      </w:r>
      <w:r w:rsidRPr="00650993">
        <w:rPr>
          <w:rStyle w:val="Lbjegyzet-hivatkozs"/>
          <w:rFonts w:ascii="Times New Roman" w:hAnsi="Times New Roman" w:cs="Times New Roman"/>
          <w:sz w:val="24"/>
          <w:szCs w:val="24"/>
        </w:rPr>
        <w:footnoteReference w:id="3"/>
      </w:r>
      <w:r w:rsidRPr="00650993">
        <w:rPr>
          <w:rFonts w:ascii="Times New Roman" w:hAnsi="Times New Roman" w:cs="Times New Roman"/>
          <w:sz w:val="24"/>
          <w:szCs w:val="24"/>
        </w:rPr>
        <w:t xml:space="preserve"> amit aztán a szabadság, jog és biztonság térségében is sikerrel alkalmaztak, a kölcsönös bizalmat teszi az európai uniós működés motorjává.</w:t>
      </w:r>
      <w:r w:rsidRPr="00650993">
        <w:rPr>
          <w:rStyle w:val="Lbjegyzet-hivatkozs"/>
          <w:rFonts w:ascii="Times New Roman" w:hAnsi="Times New Roman" w:cs="Times New Roman"/>
          <w:sz w:val="24"/>
          <w:szCs w:val="24"/>
        </w:rPr>
        <w:footnoteReference w:id="4"/>
      </w:r>
      <w:r w:rsidRPr="00650993">
        <w:rPr>
          <w:rFonts w:ascii="Times New Roman" w:hAnsi="Times New Roman" w:cs="Times New Roman"/>
          <w:sz w:val="24"/>
          <w:szCs w:val="24"/>
        </w:rPr>
        <w:t xml:space="preserve"> Ha e kölcsönös bizalom elvész, úgy ez egész uniós jogrendszer működésképtelenné válik. Ez történik például abban az esetben, ha a függetlenség perce</w:t>
      </w:r>
      <w:r>
        <w:rPr>
          <w:rFonts w:ascii="Times New Roman" w:hAnsi="Times New Roman" w:cs="Times New Roman"/>
          <w:sz w:val="24"/>
          <w:szCs w:val="24"/>
        </w:rPr>
        <w:t>p</w:t>
      </w:r>
      <w:r w:rsidRPr="00650993">
        <w:rPr>
          <w:rFonts w:ascii="Times New Roman" w:hAnsi="Times New Roman" w:cs="Times New Roman"/>
          <w:sz w:val="24"/>
          <w:szCs w:val="24"/>
        </w:rPr>
        <w:t>ciójának elvesztése miatt egyes tagállamok bíróságai megkérdőjelezik a partner tagállamban meghozott bírósági döntések megalapozottságát.</w:t>
      </w:r>
      <w:r w:rsidRPr="00650993">
        <w:rPr>
          <w:rStyle w:val="Lbjegyzet-hivatkozs"/>
          <w:rFonts w:ascii="Times New Roman" w:hAnsi="Times New Roman" w:cs="Times New Roman"/>
          <w:sz w:val="24"/>
          <w:szCs w:val="24"/>
        </w:rPr>
        <w:footnoteReference w:id="5"/>
      </w:r>
      <w:r w:rsidRPr="00650993">
        <w:rPr>
          <w:rFonts w:ascii="Times New Roman" w:hAnsi="Times New Roman" w:cs="Times New Roman"/>
          <w:sz w:val="24"/>
          <w:szCs w:val="24"/>
        </w:rPr>
        <w:t xml:space="preserve"> </w:t>
      </w:r>
    </w:p>
    <w:p w14:paraId="3799A432"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[1</w:t>
      </w:r>
      <w:r>
        <w:rPr>
          <w:rFonts w:ascii="Times New Roman" w:hAnsi="Times New Roman" w:cs="Times New Roman"/>
          <w:sz w:val="24"/>
          <w:szCs w:val="24"/>
        </w:rPr>
        <w:t>8</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Minthogy azonban a bíróságok függetlensége és a jogállamiság tiszteletben tartása egyben csatlakozási kritériumok is,</w:t>
      </w:r>
      <w:r w:rsidRPr="00650993">
        <w:rPr>
          <w:rStyle w:val="Lbjegyzet-hivatkozs"/>
          <w:rFonts w:ascii="Times New Roman" w:hAnsi="Times New Roman" w:cs="Times New Roman"/>
          <w:sz w:val="24"/>
          <w:szCs w:val="24"/>
        </w:rPr>
        <w:footnoteReference w:id="6"/>
      </w:r>
      <w:r w:rsidRPr="00650993">
        <w:rPr>
          <w:rFonts w:ascii="Times New Roman" w:hAnsi="Times New Roman" w:cs="Times New Roman"/>
          <w:sz w:val="24"/>
          <w:szCs w:val="24"/>
        </w:rPr>
        <w:t xml:space="preserve"> az államok pedig önszántukból válnak az Európai Unió tagállamaivá</w:t>
      </w:r>
      <w:r>
        <w:rPr>
          <w:rFonts w:ascii="Times New Roman" w:hAnsi="Times New Roman" w:cs="Times New Roman"/>
          <w:sz w:val="24"/>
          <w:szCs w:val="24"/>
        </w:rPr>
        <w:t>,</w:t>
      </w:r>
      <w:r w:rsidRPr="00650993">
        <w:rPr>
          <w:rFonts w:ascii="Times New Roman" w:hAnsi="Times New Roman" w:cs="Times New Roman"/>
          <w:sz w:val="24"/>
          <w:szCs w:val="24"/>
        </w:rPr>
        <w:t xml:space="preserve"> válla</w:t>
      </w:r>
      <w:r>
        <w:rPr>
          <w:rFonts w:ascii="Times New Roman" w:hAnsi="Times New Roman" w:cs="Times New Roman"/>
          <w:sz w:val="24"/>
          <w:szCs w:val="24"/>
        </w:rPr>
        <w:t>l</w:t>
      </w:r>
      <w:r w:rsidRPr="00650993">
        <w:rPr>
          <w:rFonts w:ascii="Times New Roman" w:hAnsi="Times New Roman" w:cs="Times New Roman"/>
          <w:sz w:val="24"/>
          <w:szCs w:val="24"/>
        </w:rPr>
        <w:t>va azt, hogy a jövőre nézve elkötelezik magukat az uniós értékek mellett, ezért az Európai Unióban eleve vélelem áll amellett, hogy a tagállamok biztosítják a bíróságok függetlenségét.</w:t>
      </w:r>
      <w:r w:rsidRPr="00650993">
        <w:rPr>
          <w:rStyle w:val="Lbjegyzet-hivatkozs"/>
          <w:rFonts w:ascii="Times New Roman" w:hAnsi="Times New Roman" w:cs="Times New Roman"/>
          <w:sz w:val="24"/>
          <w:szCs w:val="24"/>
        </w:rPr>
        <w:footnoteReference w:id="7"/>
      </w:r>
      <w:r w:rsidRPr="00650993">
        <w:rPr>
          <w:rFonts w:ascii="Times New Roman" w:hAnsi="Times New Roman" w:cs="Times New Roman"/>
          <w:sz w:val="24"/>
          <w:szCs w:val="24"/>
        </w:rPr>
        <w:t xml:space="preserve"> Az utóbbi időben ugyanakkor a lengyel igazságszolgáltatási reform miatt egyre több olyan eset került az Európai Unió Bírósága elé, amelyben e fundamentumok megkérdőjeleződtek. </w:t>
      </w:r>
    </w:p>
    <w:p w14:paraId="1C3CD47A" w14:textId="77777777" w:rsidR="00235CC9" w:rsidRPr="00650993" w:rsidRDefault="00235CC9" w:rsidP="00235CC9">
      <w:pPr>
        <w:spacing w:after="0" w:line="240" w:lineRule="auto"/>
        <w:jc w:val="both"/>
        <w:rPr>
          <w:rFonts w:ascii="Times New Roman" w:hAnsi="Times New Roman" w:cs="Times New Roman"/>
          <w:sz w:val="24"/>
          <w:szCs w:val="24"/>
        </w:rPr>
      </w:pPr>
    </w:p>
    <w:p w14:paraId="64B01CA4" w14:textId="77777777" w:rsidR="00235CC9" w:rsidRPr="00BD3590" w:rsidRDefault="00235CC9" w:rsidP="00235CC9">
      <w:pPr>
        <w:spacing w:after="0" w:line="240" w:lineRule="auto"/>
        <w:jc w:val="center"/>
        <w:rPr>
          <w:rFonts w:ascii="Times New Roman" w:hAnsi="Times New Roman" w:cs="Times New Roman"/>
          <w:b/>
          <w:i/>
          <w:iCs/>
          <w:sz w:val="24"/>
          <w:szCs w:val="24"/>
        </w:rPr>
      </w:pPr>
      <w:r w:rsidRPr="00BD3590">
        <w:rPr>
          <w:rFonts w:ascii="Times New Roman" w:hAnsi="Times New Roman" w:cs="Times New Roman"/>
          <w:b/>
          <w:i/>
          <w:iCs/>
          <w:sz w:val="24"/>
          <w:szCs w:val="24"/>
        </w:rPr>
        <w:t>4.1. Portugália</w:t>
      </w:r>
    </w:p>
    <w:p w14:paraId="5347B4FD"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[1</w:t>
      </w:r>
      <w:r>
        <w:rPr>
          <w:rFonts w:ascii="Times New Roman" w:hAnsi="Times New Roman" w:cs="Times New Roman"/>
          <w:sz w:val="24"/>
          <w:szCs w:val="24"/>
        </w:rPr>
        <w:t>9</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Ami az EUB előtti ügyeket illeti, a lengyel eseteket megelőzte egy portugál ügy.</w:t>
      </w:r>
      <w:r w:rsidRPr="00650993">
        <w:rPr>
          <w:rStyle w:val="Lbjegyzet-hivatkozs"/>
          <w:rFonts w:ascii="Times New Roman" w:hAnsi="Times New Roman" w:cs="Times New Roman"/>
          <w:sz w:val="24"/>
          <w:szCs w:val="24"/>
        </w:rPr>
        <w:footnoteReference w:id="8"/>
      </w:r>
      <w:r w:rsidRPr="00650993">
        <w:rPr>
          <w:rFonts w:ascii="Times New Roman" w:hAnsi="Times New Roman" w:cs="Times New Roman"/>
          <w:sz w:val="24"/>
          <w:szCs w:val="24"/>
        </w:rPr>
        <w:t xml:space="preserve"> Ennek előzménye, hogy a portugál jogalkotó a 75/2014. számú törvénnyel 2014 októberétől időszakosan csökkentette számos tisztségviselő, valamint a közszférában feladatot ellátó személy illetményének összegét. Az e törvény alapján elfogadott, „fizetéskezelésről” szóló közigazgatási aktusok értelmében a számvevőszék (</w:t>
      </w:r>
      <w:proofErr w:type="spellStart"/>
      <w:r w:rsidRPr="00650993">
        <w:rPr>
          <w:rFonts w:ascii="Times New Roman" w:hAnsi="Times New Roman" w:cs="Times New Roman"/>
          <w:sz w:val="24"/>
          <w:szCs w:val="24"/>
        </w:rPr>
        <w:t>Tribunal</w:t>
      </w:r>
      <w:proofErr w:type="spellEnd"/>
      <w:r w:rsidRPr="00650993">
        <w:rPr>
          <w:rFonts w:ascii="Times New Roman" w:hAnsi="Times New Roman" w:cs="Times New Roman"/>
          <w:sz w:val="24"/>
          <w:szCs w:val="24"/>
        </w:rPr>
        <w:t xml:space="preserve"> de </w:t>
      </w:r>
      <w:proofErr w:type="spellStart"/>
      <w:r w:rsidRPr="00650993">
        <w:rPr>
          <w:rFonts w:ascii="Times New Roman" w:hAnsi="Times New Roman" w:cs="Times New Roman"/>
          <w:sz w:val="24"/>
          <w:szCs w:val="24"/>
        </w:rPr>
        <w:t>Contas</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bírái</w:t>
      </w:r>
      <w:proofErr w:type="spellEnd"/>
      <w:r w:rsidRPr="00650993">
        <w:rPr>
          <w:rFonts w:ascii="Times New Roman" w:hAnsi="Times New Roman" w:cs="Times New Roman"/>
          <w:sz w:val="24"/>
          <w:szCs w:val="24"/>
        </w:rPr>
        <w:t xml:space="preserve"> illetményének összegét is csökkentették. Az </w:t>
      </w:r>
      <w:proofErr w:type="spellStart"/>
      <w:r w:rsidRPr="00650993">
        <w:rPr>
          <w:rFonts w:ascii="Times New Roman" w:hAnsi="Times New Roman" w:cs="Times New Roman"/>
          <w:sz w:val="24"/>
          <w:szCs w:val="24"/>
        </w:rPr>
        <w:t>Associação</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Sindical</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dos</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Juízes</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Portugueses</w:t>
      </w:r>
      <w:proofErr w:type="spellEnd"/>
      <w:r w:rsidRPr="00650993">
        <w:rPr>
          <w:rFonts w:ascii="Times New Roman" w:hAnsi="Times New Roman" w:cs="Times New Roman"/>
          <w:sz w:val="24"/>
          <w:szCs w:val="24"/>
        </w:rPr>
        <w:t xml:space="preserve">, a portugál bírák szakszervezete a számvevőszék tagjainak nevében eljárva rendkívüli közigazgatási keresetet nyújtott be a </w:t>
      </w:r>
      <w:proofErr w:type="spellStart"/>
      <w:r w:rsidRPr="00650993">
        <w:rPr>
          <w:rFonts w:ascii="Times New Roman" w:hAnsi="Times New Roman" w:cs="Times New Roman"/>
          <w:sz w:val="24"/>
          <w:szCs w:val="24"/>
        </w:rPr>
        <w:t>Supremo</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Tribunal</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Administrativo</w:t>
      </w:r>
      <w:proofErr w:type="spellEnd"/>
      <w:r w:rsidRPr="00650993">
        <w:rPr>
          <w:rFonts w:ascii="Times New Roman" w:hAnsi="Times New Roman" w:cs="Times New Roman"/>
          <w:sz w:val="24"/>
          <w:szCs w:val="24"/>
        </w:rPr>
        <w:t xml:space="preserve"> (legfelsőbb közigazgatási bíróság) előtt. Keresete alátámasztásául a szakszervezet előadta, hogy az illetménycsökkentésre irányuló intézkedések sértik a „bírói függetlenség elvét”, amelyet nemcsak a portugál alkotmány, de az uniós jog is kimond az EUSZ 19. cikk (1) bekezdésének második albekezdésében, valamint a</w:t>
      </w:r>
      <w:r>
        <w:rPr>
          <w:rFonts w:ascii="Times New Roman" w:hAnsi="Times New Roman" w:cs="Times New Roman"/>
          <w:sz w:val="24"/>
          <w:szCs w:val="24"/>
        </w:rPr>
        <w:t>z Alapjogi</w:t>
      </w:r>
      <w:r w:rsidRPr="00650993">
        <w:rPr>
          <w:rFonts w:ascii="Times New Roman" w:hAnsi="Times New Roman" w:cs="Times New Roman"/>
          <w:sz w:val="24"/>
          <w:szCs w:val="24"/>
        </w:rPr>
        <w:t xml:space="preserve"> Charta 47. cikkében.</w:t>
      </w:r>
    </w:p>
    <w:p w14:paraId="00F73FF5"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w:t>
      </w:r>
      <w:r>
        <w:rPr>
          <w:rFonts w:ascii="Times New Roman" w:hAnsi="Times New Roman" w:cs="Times New Roman"/>
          <w:sz w:val="24"/>
          <w:szCs w:val="24"/>
        </w:rPr>
        <w:t>2</w:t>
      </w:r>
      <w:r w:rsidRPr="001B3D38">
        <w:rPr>
          <w:rFonts w:ascii="Times New Roman" w:hAnsi="Times New Roman" w:cs="Times New Roman"/>
          <w:sz w:val="24"/>
          <w:szCs w:val="24"/>
        </w:rPr>
        <w:t>0</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Habár a konkrét ügyben az EUB döntése értelmében nem merült fel a bírói függetlenség sérelme, a luxemburgi testület fontos elvi tételeket rögzített. Ennek értelmében, annak értékeléséhez, hogy valamely szerv a „bíróság” jellemzőivel rendelkezik</w:t>
      </w:r>
      <w:r w:rsidRPr="00650993">
        <w:rPr>
          <w:rFonts w:ascii="Times New Roman" w:hAnsi="Times New Roman" w:cs="Times New Roman"/>
          <w:sz w:val="24"/>
          <w:szCs w:val="24"/>
        </w:rPr>
        <w:noBreakHyphen/>
        <w:t xml:space="preserve">e, figyelembe kell venni, hogy </w:t>
      </w:r>
      <w:r w:rsidRPr="00650993">
        <w:rPr>
          <w:rFonts w:ascii="Times New Roman" w:hAnsi="Times New Roman" w:cs="Times New Roman"/>
          <w:i/>
          <w:sz w:val="24"/>
          <w:szCs w:val="24"/>
        </w:rPr>
        <w:t>a szerv jogszabály alapján jött</w:t>
      </w:r>
      <w:r w:rsidRPr="00650993">
        <w:rPr>
          <w:rFonts w:ascii="Times New Roman" w:hAnsi="Times New Roman" w:cs="Times New Roman"/>
          <w:i/>
          <w:sz w:val="24"/>
          <w:szCs w:val="24"/>
        </w:rPr>
        <w:noBreakHyphen/>
        <w:t>e létre, állandó jelleggel működik</w:t>
      </w:r>
      <w:r w:rsidRPr="00650993">
        <w:rPr>
          <w:rFonts w:ascii="Times New Roman" w:hAnsi="Times New Roman" w:cs="Times New Roman"/>
          <w:i/>
          <w:sz w:val="24"/>
          <w:szCs w:val="24"/>
        </w:rPr>
        <w:noBreakHyphen/>
        <w:t>e, hatásköre kötelező jellegű</w:t>
      </w:r>
      <w:r w:rsidRPr="00650993">
        <w:rPr>
          <w:rFonts w:ascii="Times New Roman" w:hAnsi="Times New Roman" w:cs="Times New Roman"/>
          <w:i/>
          <w:sz w:val="24"/>
          <w:szCs w:val="24"/>
        </w:rPr>
        <w:noBreakHyphen/>
        <w:t xml:space="preserve">e, az eljárása </w:t>
      </w:r>
      <w:proofErr w:type="spellStart"/>
      <w:r w:rsidRPr="00650993">
        <w:rPr>
          <w:rFonts w:ascii="Times New Roman" w:hAnsi="Times New Roman" w:cs="Times New Roman"/>
          <w:i/>
          <w:sz w:val="24"/>
          <w:szCs w:val="24"/>
        </w:rPr>
        <w:t>kontradiktórius</w:t>
      </w:r>
      <w:proofErr w:type="spellEnd"/>
      <w:r w:rsidRPr="00650993">
        <w:rPr>
          <w:rFonts w:ascii="Times New Roman" w:hAnsi="Times New Roman" w:cs="Times New Roman"/>
          <w:i/>
          <w:sz w:val="24"/>
          <w:szCs w:val="24"/>
        </w:rPr>
        <w:t xml:space="preserve"> jellegű</w:t>
      </w:r>
      <w:r w:rsidRPr="00650993">
        <w:rPr>
          <w:rFonts w:ascii="Times New Roman" w:hAnsi="Times New Roman" w:cs="Times New Roman"/>
          <w:i/>
          <w:sz w:val="24"/>
          <w:szCs w:val="24"/>
        </w:rPr>
        <w:noBreakHyphen/>
        <w:t>e, jogszabályokat alkalmaz</w:t>
      </w:r>
      <w:r w:rsidRPr="00650993">
        <w:rPr>
          <w:rFonts w:ascii="Times New Roman" w:hAnsi="Times New Roman" w:cs="Times New Roman"/>
          <w:i/>
          <w:sz w:val="24"/>
          <w:szCs w:val="24"/>
        </w:rPr>
        <w:noBreakHyphen/>
        <w:t xml:space="preserve">e, valamint </w:t>
      </w:r>
      <w:r w:rsidRPr="00650993">
        <w:rPr>
          <w:rFonts w:ascii="Times New Roman" w:hAnsi="Times New Roman" w:cs="Times New Roman"/>
          <w:i/>
          <w:sz w:val="24"/>
          <w:szCs w:val="24"/>
        </w:rPr>
        <w:lastRenderedPageBreak/>
        <w:t>azt is, hogy független</w:t>
      </w:r>
      <w:r w:rsidRPr="00650993">
        <w:rPr>
          <w:rFonts w:ascii="Times New Roman" w:hAnsi="Times New Roman" w:cs="Times New Roman"/>
          <w:i/>
          <w:sz w:val="24"/>
          <w:szCs w:val="24"/>
        </w:rPr>
        <w:noBreakHyphen/>
        <w:t>e.</w:t>
      </w:r>
      <w:r w:rsidRPr="00650993">
        <w:rPr>
          <w:rFonts w:ascii="Times New Roman" w:hAnsi="Times New Roman" w:cs="Times New Roman"/>
          <w:sz w:val="24"/>
          <w:szCs w:val="24"/>
        </w:rPr>
        <w:t xml:space="preserve"> Ennek következménye, hogy az EUMSZ 267. cikkben előírt előzetes döntéshozatali mechanizmust is csak olyan testület kezdeményezheti, amely teljesíti a többi mellett a függetlenségre vonatkozó feltételt.</w:t>
      </w:r>
      <w:r w:rsidRPr="00650993">
        <w:rPr>
          <w:rStyle w:val="Lbjegyzet-hivatkozs"/>
          <w:rFonts w:ascii="Times New Roman" w:hAnsi="Times New Roman" w:cs="Times New Roman"/>
          <w:sz w:val="24"/>
          <w:szCs w:val="24"/>
        </w:rPr>
        <w:footnoteReference w:id="9"/>
      </w:r>
      <w:r w:rsidRPr="00650993">
        <w:rPr>
          <w:rFonts w:ascii="Times New Roman" w:hAnsi="Times New Roman" w:cs="Times New Roman"/>
          <w:sz w:val="24"/>
          <w:szCs w:val="24"/>
        </w:rPr>
        <w:t xml:space="preserve"> Utóbbi vonatkozásában a testület azt is megállapította, hogy a „függetlenség fogalma többek között azt feltételezi, hogy az érintett fórum teljesen autonóm módon gyakorolja bírói feladatkörét anélkül, hogy bármilyen hierarchikus kapcsolatban lenne, vagy bárkinek alá lenne rendelve, és anélkül, hogy bárhonnan utasításokat kapna, így védett az olyan külső beavatkozással vagy nyomással szemben, amely veszélyeztetheti tagjai határozathozatalának függetlenségét, és határozataikat befolyásolhatja”.</w:t>
      </w:r>
      <w:r w:rsidRPr="00650993">
        <w:rPr>
          <w:rStyle w:val="Lbjegyzet-hivatkozs"/>
          <w:rFonts w:ascii="Times New Roman" w:hAnsi="Times New Roman" w:cs="Times New Roman"/>
          <w:sz w:val="24"/>
          <w:szCs w:val="24"/>
        </w:rPr>
        <w:footnoteReference w:id="10"/>
      </w:r>
      <w:r w:rsidRPr="00650993">
        <w:rPr>
          <w:rFonts w:ascii="Times New Roman" w:hAnsi="Times New Roman" w:cs="Times New Roman"/>
          <w:sz w:val="24"/>
          <w:szCs w:val="24"/>
        </w:rPr>
        <w:t xml:space="preserve"> A jogvédelem biztosítása érdekében pedig a bíróságok függetlenségének megőrzése alapvető fontosságú az Alapjogi Charta 47. cikkének második bekezdésére is tekintettel, amely a hatékony jogorvoslathoz való alapvető joghoz fűződő követelmények sorában említi a független bírósághoz való fordulást. </w:t>
      </w:r>
    </w:p>
    <w:p w14:paraId="285D38A7"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[2</w:t>
      </w:r>
      <w:r>
        <w:rPr>
          <w:rFonts w:ascii="Times New Roman" w:hAnsi="Times New Roman" w:cs="Times New Roman"/>
          <w:sz w:val="24"/>
          <w:szCs w:val="24"/>
        </w:rPr>
        <w:t>1</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Ezt az alaphelyzetet megteremtő első felvonást követték az ú</w:t>
      </w:r>
      <w:r>
        <w:rPr>
          <w:rFonts w:ascii="Times New Roman" w:hAnsi="Times New Roman" w:cs="Times New Roman"/>
          <w:sz w:val="24"/>
          <w:szCs w:val="24"/>
        </w:rPr>
        <w:t>gynevezett</w:t>
      </w:r>
      <w:r w:rsidRPr="00650993">
        <w:rPr>
          <w:rFonts w:ascii="Times New Roman" w:hAnsi="Times New Roman" w:cs="Times New Roman"/>
          <w:sz w:val="24"/>
          <w:szCs w:val="24"/>
        </w:rPr>
        <w:t xml:space="preserve"> „lengyel ügyek”. </w:t>
      </w:r>
    </w:p>
    <w:p w14:paraId="7CDB379E" w14:textId="77777777" w:rsidR="00235CC9" w:rsidRPr="00650993" w:rsidRDefault="00235CC9" w:rsidP="00235CC9">
      <w:pPr>
        <w:spacing w:after="0" w:line="240" w:lineRule="auto"/>
        <w:jc w:val="both"/>
        <w:rPr>
          <w:rFonts w:ascii="Times New Roman" w:hAnsi="Times New Roman" w:cs="Times New Roman"/>
          <w:sz w:val="24"/>
          <w:szCs w:val="24"/>
        </w:rPr>
      </w:pPr>
    </w:p>
    <w:p w14:paraId="2EFBF381" w14:textId="75DA3122" w:rsidR="00B92E7E" w:rsidRPr="00B92E7E" w:rsidRDefault="00026AEE" w:rsidP="4B428B2C">
      <w:pPr>
        <w:spacing w:after="0" w:line="240" w:lineRule="auto"/>
        <w:jc w:val="both"/>
        <w:rPr>
          <w:rFonts w:ascii="Times New Roman" w:hAnsi="Times New Roman" w:cs="Times New Roman"/>
          <w:i/>
          <w:iCs/>
          <w:sz w:val="24"/>
          <w:szCs w:val="24"/>
        </w:rPr>
        <w:sectPr w:rsidR="00B92E7E" w:rsidRPr="00B92E7E" w:rsidSect="00B92E7E">
          <w:footnotePr>
            <w:numRestart w:val="eachSect"/>
          </w:footnotePr>
          <w:pgSz w:w="11906" w:h="16838"/>
          <w:pgMar w:top="1417" w:right="1417" w:bottom="1417" w:left="1417" w:header="708" w:footer="708" w:gutter="0"/>
          <w:cols w:space="708"/>
        </w:sectPr>
      </w:pPr>
      <w:r w:rsidRPr="4B428B2C">
        <w:rPr>
          <w:rFonts w:ascii="Times New Roman" w:hAnsi="Times New Roman" w:cs="Times New Roman"/>
          <w:i/>
          <w:iCs/>
          <w:sz w:val="24"/>
          <w:szCs w:val="24"/>
        </w:rPr>
        <w:t>(Megjelent: EU Jog, 2021/1–2. sz.</w:t>
      </w:r>
    </w:p>
    <w:p w14:paraId="38171B4F" w14:textId="697F8455" w:rsidR="00EB6A32" w:rsidRDefault="00EB6A32" w:rsidP="00FD6B54">
      <w:pPr>
        <w:pStyle w:val="Default"/>
        <w:rPr>
          <w:b/>
          <w:bCs/>
          <w:color w:val="000000" w:themeColor="text1"/>
        </w:rPr>
      </w:pPr>
      <w:r>
        <w:rPr>
          <w:noProof/>
        </w:rPr>
        <w:lastRenderedPageBreak/>
        <mc:AlternateContent>
          <mc:Choice Requires="wps">
            <w:drawing>
              <wp:anchor distT="0" distB="0" distL="114300" distR="114300" simplePos="0" relativeHeight="251675648" behindDoc="0" locked="0" layoutInCell="1" allowOverlap="1" wp14:anchorId="5C049A87" wp14:editId="5292BB8C">
                <wp:simplePos x="0" y="0"/>
                <wp:positionH relativeFrom="column">
                  <wp:posOffset>0</wp:posOffset>
                </wp:positionH>
                <wp:positionV relativeFrom="paragraph">
                  <wp:posOffset>76200</wp:posOffset>
                </wp:positionV>
                <wp:extent cx="5816600" cy="0"/>
                <wp:effectExtent l="0" t="0" r="12700" b="12700"/>
                <wp:wrapNone/>
                <wp:docPr id="9" name="Egyenes összekötő 9"/>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Egyenes összekötő 9"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6pt" to="458pt,6pt" w14:anchorId="1741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o5wwEAAMUDAAAOAAAAZHJzL2Uyb0RvYy54bWysU0uO1DAQ3SNxB8t7OslItGaiTs9iBtgg&#10;aPE5gMcpdyz8k8t0Em7BZeYCI+5F2d2dQYCEQGwcl13vVb3nyuZ6soYdIKL2ruPNquYMnPS9dvuO&#10;f/zw8tklZ5iE64XxDjo+A/Lr7dMnmzG0cOEHb3qIjEgctmPo+JBSaKsK5QBW4MoHcHSpfLQiURj3&#10;VR/FSOzWVBd1va5GH/sQvQREOr09XvJt4VcKZHqrFEJipuPUWyprLOtdXqvtRrT7KMKg5akN8Q9d&#10;WKEdFV2obkUS7HPUv1BZLaNHr9JKelt5pbSEooHUNPVPat4PIkDRQuZgWGzC/0cr3xx2kem+41ec&#10;OWHpiV7sZ3CA7OEe8Qt8erhP376yq+zUGLAlwI3bxVOEYRez7ElFm78kiE3F3XlxF6bEJB0+v2zW&#10;65oeQZ7vqkdgiJhegbcsbzputMvCRSsOrzFRMUo9p1CQGzmWLrs0G8jJxr0DRWKoWFPQZYzgxkR2&#10;EDQAQkpwqclSiK9kZ5jSxizA+s/AU36GQhmxvwEviFLZu7SArXY+/q56ms4tq2P+2YGj7mzBne/n&#10;8ijFGpqVovA013kYf4wL/PHv234HAAD//wMAUEsDBBQABgAIAAAAIQDSIYm73wAAAAsBAAAPAAAA&#10;ZHJzL2Rvd25yZXYueG1sTE9NT8JAEL2b8B82Q+JNtvRAtHRLCMSIJIaIJnhcumNb6c42uwst/94x&#10;HvQyH+9l3ryXLwbbigv60DhSMJ0kIJBKZxqqFLy/Pd7dgwhRk9GtI1RwxQCLYnST68y4nl7xso+V&#10;YBEKmVZQx9hlUoayRqvDxHVIzH06b3Xk1VfSeN2zuG1lmiQzaXVD/KHWHa5qLE/7s1Xw4jeb1XJ7&#10;/aLdh+0P6fawex6elLodD+s5l+UcRMQh/l3ATwb2DwUbO7ozmSBaBZwmMppyZ/ZhOuPh+AvIIpf/&#10;MxTfAAAA//8DAFBLAQItABQABgAIAAAAIQC2gziS/gAAAOEBAAATAAAAAAAAAAAAAAAAAAAAAABb&#10;Q29udGVudF9UeXBlc10ueG1sUEsBAi0AFAAGAAgAAAAhADj9If/WAAAAlAEAAAsAAAAAAAAAAAAA&#10;AAAALwEAAF9yZWxzLy5yZWxzUEsBAi0AFAAGAAgAAAAhALy1ejnDAQAAxQMAAA4AAAAAAAAAAAAA&#10;AAAALgIAAGRycy9lMm9Eb2MueG1sUEsBAi0AFAAGAAgAAAAhANIhibvfAAAACwEAAA8AAAAAAAAA&#10;AAAAAAAAHQQAAGRycy9kb3ducmV2LnhtbFBLBQYAAAAABAAEAPMAAAApBQAAAAA=&#10;">
                <v:stroke joinstyle="miter"/>
              </v:line>
            </w:pict>
          </mc:Fallback>
        </mc:AlternateContent>
      </w:r>
    </w:p>
    <w:p w14:paraId="40D3D4E9" w14:textId="5B251157" w:rsidR="00684037" w:rsidRDefault="00684037" w:rsidP="00F1159E">
      <w:pPr>
        <w:pStyle w:val="Default"/>
        <w:jc w:val="center"/>
        <w:rPr>
          <w:b/>
          <w:bCs/>
          <w:color w:val="FF0000"/>
        </w:rPr>
      </w:pPr>
      <w:r>
        <w:rPr>
          <w:b/>
          <w:bCs/>
          <w:color w:val="000000" w:themeColor="text1"/>
        </w:rPr>
        <w:t>3</w:t>
      </w:r>
      <w:r w:rsidRPr="00EF3A89">
        <w:rPr>
          <w:b/>
          <w:bCs/>
          <w:color w:val="000000" w:themeColor="text1"/>
        </w:rPr>
        <w:t xml:space="preserve">. </w:t>
      </w:r>
      <w:r>
        <w:rPr>
          <w:b/>
          <w:bCs/>
          <w:color w:val="FF0000"/>
        </w:rPr>
        <w:t>JOGESETELEMZÉS:</w:t>
      </w:r>
    </w:p>
    <w:p w14:paraId="199BB6E1" w14:textId="77777777" w:rsidR="00684037" w:rsidRDefault="00684037" w:rsidP="00FD6B54">
      <w:pPr>
        <w:pStyle w:val="Default"/>
        <w:rPr>
          <w:b/>
          <w:bCs/>
        </w:rPr>
      </w:pPr>
    </w:p>
    <w:p w14:paraId="05C38D1D" w14:textId="77777777" w:rsidR="00684037" w:rsidRPr="00235CC9" w:rsidRDefault="00684037" w:rsidP="00FD6B54">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lehetnek alcímek</w:t>
      </w:r>
    </w:p>
    <w:p w14:paraId="3A094DEE" w14:textId="77777777" w:rsidR="00684037" w:rsidRPr="00235CC9" w:rsidRDefault="00684037" w:rsidP="00FD6B54">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 alatt a bekezdésszámozás folyamatos</w:t>
      </w:r>
    </w:p>
    <w:p w14:paraId="11FF6660" w14:textId="77777777" w:rsidR="00684037" w:rsidRPr="00235CC9" w:rsidRDefault="00684037" w:rsidP="00FD6B54">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alcímekhez többszintű decimális számozást is lehet használni</w:t>
      </w:r>
    </w:p>
    <w:p w14:paraId="5F879F39" w14:textId="4C1E4989" w:rsidR="006F6DF3" w:rsidRDefault="00684037" w:rsidP="00FD6B54">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w:t>
      </w:r>
      <w:r w:rsidR="00FD6B54">
        <w:rPr>
          <w:rFonts w:ascii="Times New Roman" w:eastAsia="Times New Roman" w:hAnsi="Times New Roman" w:cs="Times New Roman"/>
          <w:bCs/>
          <w:sz w:val="24"/>
          <w:szCs w:val="24"/>
        </w:rPr>
        <w:t xml:space="preserve"> </w:t>
      </w:r>
      <w:r w:rsidRPr="00235CC9">
        <w:rPr>
          <w:rFonts w:ascii="Times New Roman" w:eastAsia="Times New Roman" w:hAnsi="Times New Roman" w:cs="Times New Roman"/>
          <w:bCs/>
          <w:sz w:val="24"/>
          <w:szCs w:val="24"/>
        </w:rPr>
        <w:t>vannak lábjegyzetek – ezeknek a formátuma kötött, a mintában szereplő módon kell megjelenniük</w:t>
      </w:r>
      <w:r>
        <w:rPr>
          <w:rFonts w:ascii="Times New Roman" w:eastAsia="Times New Roman" w:hAnsi="Times New Roman" w:cs="Times New Roman"/>
          <w:bCs/>
          <w:sz w:val="24"/>
          <w:szCs w:val="24"/>
        </w:rPr>
        <w:t xml:space="preserve"> mind a döntvényeknek, mind a szakirodalmi hivatkozásoknak</w:t>
      </w:r>
    </w:p>
    <w:p w14:paraId="5117CF28" w14:textId="18ABAF45" w:rsidR="006F6DF3" w:rsidRDefault="006F6DF3" w:rsidP="00684037">
      <w:pPr>
        <w:spacing w:after="0" w:line="240" w:lineRule="auto"/>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667456" behindDoc="0" locked="0" layoutInCell="1" allowOverlap="1" wp14:anchorId="2AF14DC4" wp14:editId="18B3620F">
                <wp:simplePos x="0" y="0"/>
                <wp:positionH relativeFrom="column">
                  <wp:posOffset>0</wp:posOffset>
                </wp:positionH>
                <wp:positionV relativeFrom="paragraph">
                  <wp:posOffset>67099</wp:posOffset>
                </wp:positionV>
                <wp:extent cx="5816600" cy="0"/>
                <wp:effectExtent l="0" t="0" r="12700" b="12700"/>
                <wp:wrapNone/>
                <wp:docPr id="6" name="Egyenes összekötő 6"/>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Egyenes összekötő 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3pt" to="458pt,5.3pt" w14:anchorId="57A1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ArwwEAAMUDAAAOAAAAZHJzL2Uyb0RvYy54bWysU0uO1DAQ3SNxB8t7OumRiEZRp2cxA2wQ&#10;tPgcwOOUOxb+yWU6CbfgMnOBEfei7O7OIEBCM2LjuOx6r+o9VzZXkzXsABG1dx1fr2rOwEnfa7fv&#10;+OdPr19ccoZJuF4Y76DjMyC/2j5/thlDCxd+8KaHyIjEYTuGjg8phbaqUA5gBa58AEeXykcrEoVx&#10;X/VRjMRuTXVR1001+tiH6CUg0unN8ZJvC79SINN7pRASMx2n3lJZY1lv81ptN6LdRxEGLU9tiCd0&#10;YYV2VHShuhFJsK9R/0FltYwevUor6W3lldISigZSs65/U/NxEAGKFjIHw2IT/j9a+e6wi0z3HW84&#10;c8LSE73az+AA2f0d4jf4cn+XfnxnTXZqDNgS4Nrt4inCsItZ9qSizV8SxKbi7ry4C1Nikg5fXq6b&#10;pqZHkOe76gEYIqY34C3Lm44b7bJw0YrDW0xUjFLPKRTkRo6lyy7NBnKycR9AkRgqti7oMkZwbSI7&#10;CBoAISW4tM5SiK9kZ5jSxizA+t/AU36GQhmxx4AXRKnsXVrAVjsf/1Y9TeeW1TH/7MBRd7bg1vdz&#10;eZRiDc1KUXia6zyMv8YF/vD3bX8CAAD//wMAUEsDBBQABgAIAAAAIQDOg8r/4AAAAAsBAAAPAAAA&#10;ZHJzL2Rvd25yZXYueG1sTI9BS8NAEIXvQv/DMgVvdtMegqbZlNIi1oIUq1CP2+yYxGZnw+62Sf+9&#10;Ix70MjDfY968ly8G24oL+tA4UjCdJCCQSmcaqhS8vz3e3YMIUZPRrSNUcMUAi2J0k+vMuJ5e8bKP&#10;lWATCplWUMfYZVKGskarw8R1SKx9Om915NVX0njds7lt5SxJUml1Q/yh1h2uaixP+7NV8OI3m9Vy&#10;e/2i3YftD7PtYfc8PCl1Ox7Wcx7LOYiIQ/y7gJ8OnB8KDnZ0ZzJBtAq4TWSapCBYfZimDI6/QBa5&#10;/N+h+AYAAP//AwBQSwECLQAUAAYACAAAACEAtoM4kv4AAADhAQAAEwAAAAAAAAAAAAAAAAAAAAAA&#10;W0NvbnRlbnRfVHlwZXNdLnhtbFBLAQItABQABgAIAAAAIQA4/SH/1gAAAJQBAAALAAAAAAAAAAAA&#10;AAAAAC8BAABfcmVscy8ucmVsc1BLAQItABQABgAIAAAAIQDhJzArwwEAAMUDAAAOAAAAAAAAAAAA&#10;AAAAAC4CAABkcnMvZTJvRG9jLnhtbFBLAQItABQABgAIAAAAIQDOg8r/4AAAAAsBAAAPAAAAAAAA&#10;AAAAAAAAAB0EAABkcnMvZG93bnJldi54bWxQSwUGAAAAAAQABADzAAAAKgUAAAAA&#10;">
                <v:stroke joinstyle="miter"/>
              </v:line>
            </w:pict>
          </mc:Fallback>
        </mc:AlternateContent>
      </w:r>
    </w:p>
    <w:p w14:paraId="6E685D6B" w14:textId="30D87DFE" w:rsidR="006F6DF3" w:rsidRPr="00FA7387" w:rsidRDefault="006F6DF3" w:rsidP="4B428B2C">
      <w:pPr>
        <w:pStyle w:val="Cmsor1"/>
        <w:spacing w:before="0" w:line="240" w:lineRule="auto"/>
        <w:jc w:val="center"/>
        <w:rPr>
          <w:rFonts w:ascii="Times New Roman" w:hAnsi="Times New Roman" w:cs="Times New Roman"/>
          <w:b/>
          <w:bCs/>
          <w:color w:val="000000" w:themeColor="text1"/>
          <w:sz w:val="24"/>
          <w:szCs w:val="24"/>
        </w:rPr>
      </w:pPr>
      <w:bookmarkStart w:id="0" w:name="_Toc519836018"/>
      <w:bookmarkStart w:id="1" w:name="_po-heading-id_bUMdPtibakKMDujVgjAf0g"/>
      <w:r w:rsidRPr="4B428B2C">
        <w:rPr>
          <w:rFonts w:ascii="Times New Roman" w:hAnsi="Times New Roman" w:cs="Times New Roman"/>
          <w:b/>
          <w:bCs/>
          <w:color w:val="000000" w:themeColor="text1"/>
          <w:sz w:val="24"/>
          <w:szCs w:val="24"/>
        </w:rPr>
        <w:t>EU Jog 2021/1–2. – Jogesetelemzés</w:t>
      </w:r>
      <w:bookmarkEnd w:id="0"/>
      <w:bookmarkEnd w:id="1"/>
    </w:p>
    <w:p w14:paraId="34D4BD2B" w14:textId="77777777" w:rsidR="006F6DF3" w:rsidRDefault="006F6DF3" w:rsidP="006F6DF3">
      <w:pPr>
        <w:pStyle w:val="Cmsor1"/>
        <w:spacing w:before="0" w:line="240" w:lineRule="auto"/>
        <w:jc w:val="center"/>
        <w:rPr>
          <w:rFonts w:ascii="Times New Roman" w:hAnsi="Times New Roman" w:cs="Times New Roman"/>
          <w:b/>
          <w:color w:val="000000" w:themeColor="text1"/>
          <w:sz w:val="24"/>
          <w:szCs w:val="24"/>
        </w:rPr>
      </w:pPr>
      <w:bookmarkStart w:id="2" w:name="_po-heading-id_cv15jAtdBkK0mK9xpjVbPQ"/>
      <w:bookmarkEnd w:id="2"/>
    </w:p>
    <w:p w14:paraId="6069F8A8" w14:textId="77777777" w:rsidR="006F6DF3" w:rsidRPr="00FA7387" w:rsidRDefault="006F6DF3" w:rsidP="006F6DF3">
      <w:pPr>
        <w:pStyle w:val="Cmsor1"/>
        <w:spacing w:before="0" w:line="240" w:lineRule="auto"/>
        <w:jc w:val="center"/>
        <w:rPr>
          <w:rFonts w:ascii="Times New Roman" w:hAnsi="Times New Roman" w:cs="Times New Roman"/>
          <w:color w:val="000000" w:themeColor="text1"/>
          <w:sz w:val="24"/>
          <w:szCs w:val="24"/>
        </w:rPr>
      </w:pPr>
      <w:bookmarkStart w:id="3" w:name="_po-heading-id_lv-xEbcO3k6M4iail1GfIQ"/>
      <w:r w:rsidRPr="00FA7387">
        <w:rPr>
          <w:rFonts w:ascii="Times New Roman" w:hAnsi="Times New Roman" w:cs="Times New Roman"/>
          <w:b/>
          <w:color w:val="000000" w:themeColor="text1"/>
          <w:sz w:val="24"/>
          <w:szCs w:val="24"/>
        </w:rPr>
        <w:t>Simon Károly László</w:t>
      </w:r>
      <w:r w:rsidRPr="00FA7387">
        <w:rPr>
          <w:rStyle w:val="Lbjegyzet-hivatkozs"/>
          <w:rFonts w:ascii="Times New Roman" w:hAnsi="Times New Roman" w:cs="Times New Roman"/>
          <w:color w:val="000000" w:themeColor="text1"/>
          <w:sz w:val="24"/>
          <w:szCs w:val="24"/>
        </w:rPr>
        <w:footnoteReference w:id="11"/>
      </w:r>
      <w:r w:rsidRPr="00FA7387">
        <w:rPr>
          <w:rFonts w:ascii="Times New Roman" w:hAnsi="Times New Roman" w:cs="Times New Roman"/>
          <w:b/>
          <w:color w:val="000000" w:themeColor="text1"/>
          <w:sz w:val="24"/>
          <w:szCs w:val="24"/>
        </w:rPr>
        <w:t>: A közintézmények határon átnyúló tartási követelésének joghatósági dilemmái</w:t>
      </w:r>
      <w:bookmarkEnd w:id="3"/>
    </w:p>
    <w:p w14:paraId="5C751D4C" w14:textId="77777777" w:rsidR="006F6DF3" w:rsidRDefault="006F6DF3" w:rsidP="006F6DF3">
      <w:pPr>
        <w:spacing w:after="0" w:line="240" w:lineRule="auto"/>
        <w:jc w:val="both"/>
        <w:rPr>
          <w:rFonts w:ascii="Times New Roman" w:hAnsi="Times New Roman" w:cs="Times New Roman"/>
          <w:color w:val="000000" w:themeColor="text1"/>
          <w:sz w:val="24"/>
          <w:szCs w:val="24"/>
        </w:rPr>
      </w:pPr>
      <w:bookmarkStart w:id="4" w:name="_Toc519836019"/>
    </w:p>
    <w:p w14:paraId="13F1C567" w14:textId="77777777" w:rsidR="006F6DF3" w:rsidRPr="00FA7387" w:rsidRDefault="006F6DF3" w:rsidP="006F6DF3">
      <w:pPr>
        <w:spacing w:after="0" w:line="240" w:lineRule="auto"/>
        <w:jc w:val="center"/>
        <w:rPr>
          <w:rFonts w:ascii="Times New Roman" w:hAnsi="Times New Roman" w:cs="Times New Roman"/>
          <w:b/>
          <w:bCs/>
          <w:i/>
          <w:iCs/>
          <w:color w:val="000000" w:themeColor="text1"/>
          <w:sz w:val="24"/>
          <w:szCs w:val="24"/>
        </w:rPr>
      </w:pPr>
      <w:r w:rsidRPr="00FA7387">
        <w:rPr>
          <w:rFonts w:ascii="Times New Roman" w:hAnsi="Times New Roman" w:cs="Times New Roman"/>
          <w:b/>
          <w:bCs/>
          <w:i/>
          <w:iCs/>
        </w:rPr>
        <w:t xml:space="preserve">Európai Unió Bírósága – Bíróság: </w:t>
      </w:r>
      <w:r w:rsidRPr="00FA7387">
        <w:rPr>
          <w:rFonts w:ascii="Times New Roman" w:hAnsi="Times New Roman" w:cs="Times New Roman"/>
          <w:b/>
          <w:bCs/>
          <w:i/>
          <w:iCs/>
          <w:color w:val="000000" w:themeColor="text1"/>
          <w:sz w:val="24"/>
          <w:szCs w:val="24"/>
        </w:rPr>
        <w:t xml:space="preserve">C-540/19. WV kontra </w:t>
      </w:r>
      <w:proofErr w:type="spellStart"/>
      <w:r w:rsidRPr="00FA7387">
        <w:rPr>
          <w:rFonts w:ascii="Times New Roman" w:hAnsi="Times New Roman" w:cs="Times New Roman"/>
          <w:b/>
          <w:bCs/>
          <w:i/>
          <w:iCs/>
          <w:color w:val="000000" w:themeColor="text1"/>
          <w:sz w:val="24"/>
          <w:szCs w:val="24"/>
        </w:rPr>
        <w:t>Landkreis</w:t>
      </w:r>
      <w:proofErr w:type="spellEnd"/>
      <w:r w:rsidRPr="00FA7387">
        <w:rPr>
          <w:rFonts w:ascii="Times New Roman" w:hAnsi="Times New Roman" w:cs="Times New Roman"/>
          <w:b/>
          <w:bCs/>
          <w:i/>
          <w:iCs/>
          <w:color w:val="000000" w:themeColor="text1"/>
          <w:sz w:val="24"/>
          <w:szCs w:val="24"/>
        </w:rPr>
        <w:t xml:space="preserve"> </w:t>
      </w:r>
      <w:proofErr w:type="spellStart"/>
      <w:r w:rsidRPr="00FA7387">
        <w:rPr>
          <w:rFonts w:ascii="Times New Roman" w:hAnsi="Times New Roman" w:cs="Times New Roman"/>
          <w:b/>
          <w:bCs/>
          <w:i/>
          <w:iCs/>
          <w:color w:val="000000" w:themeColor="text1"/>
          <w:sz w:val="24"/>
          <w:szCs w:val="24"/>
        </w:rPr>
        <w:t>Harburg</w:t>
      </w:r>
      <w:proofErr w:type="spellEnd"/>
      <w:r w:rsidRPr="00FA7387">
        <w:rPr>
          <w:rFonts w:ascii="Times New Roman" w:hAnsi="Times New Roman" w:cs="Times New Roman"/>
          <w:b/>
          <w:bCs/>
          <w:i/>
          <w:iCs/>
          <w:color w:val="000000" w:themeColor="text1"/>
          <w:sz w:val="24"/>
          <w:szCs w:val="24"/>
        </w:rPr>
        <w:t xml:space="preserve"> ügyben 2020. szeptember 17-én hozott ítélet, ECLI:EU:C:2020:732</w:t>
      </w:r>
    </w:p>
    <w:bookmarkEnd w:id="4"/>
    <w:p w14:paraId="3D2EBD43"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p>
    <w:p w14:paraId="451F79B3" w14:textId="77777777" w:rsidR="006F6DF3" w:rsidRPr="00FA7387" w:rsidRDefault="006F6DF3" w:rsidP="006F6DF3">
      <w:pPr>
        <w:spacing w:after="0" w:line="240" w:lineRule="auto"/>
        <w:jc w:val="both"/>
        <w:rPr>
          <w:rFonts w:ascii="Times New Roman" w:hAnsi="Times New Roman" w:cs="Times New Roman"/>
          <w:i/>
          <w:iCs/>
          <w:color w:val="000000" w:themeColor="text1"/>
          <w:sz w:val="24"/>
          <w:szCs w:val="24"/>
        </w:rPr>
      </w:pPr>
      <w:r w:rsidRPr="00FA7387">
        <w:rPr>
          <w:rFonts w:ascii="Times New Roman" w:hAnsi="Times New Roman" w:cs="Times New Roman"/>
          <w:i/>
          <w:iCs/>
          <w:color w:val="000000" w:themeColor="text1"/>
          <w:sz w:val="24"/>
          <w:szCs w:val="24"/>
        </w:rPr>
        <w:t>A 4/2009/EK tanácsi rendele</w:t>
      </w:r>
      <w:r>
        <w:rPr>
          <w:rFonts w:ascii="Times New Roman" w:hAnsi="Times New Roman" w:cs="Times New Roman"/>
          <w:i/>
          <w:iCs/>
          <w:color w:val="000000" w:themeColor="text1"/>
          <w:sz w:val="24"/>
          <w:szCs w:val="24"/>
        </w:rPr>
        <w:t>t</w:t>
      </w:r>
      <w:r w:rsidRPr="00FA7387">
        <w:rPr>
          <w:rFonts w:ascii="Times New Roman" w:hAnsi="Times New Roman" w:cs="Times New Roman"/>
          <w:i/>
          <w:iCs/>
          <w:color w:val="000000" w:themeColor="text1"/>
          <w:sz w:val="24"/>
          <w:szCs w:val="24"/>
        </w:rPr>
        <w:t xml:space="preserve"> új alapokra helyezte az Európai Unión belüli tartásdíjigény-érvényesítést. A tartásdíjigények határon átívelő érvényesítésének szabályai között több értelmezési kérdést vetett fel a közintézmények igényérvényesítése. A probléma végére a rendelet hatálybalépése után közel tíz évvel később az Európai Unió Bírósága tett pontot a </w:t>
      </w:r>
      <w:proofErr w:type="spellStart"/>
      <w:r w:rsidRPr="00FA7387">
        <w:rPr>
          <w:rFonts w:ascii="Times New Roman" w:hAnsi="Times New Roman" w:cs="Times New Roman"/>
          <w:i/>
          <w:iCs/>
          <w:color w:val="000000" w:themeColor="text1"/>
          <w:sz w:val="24"/>
          <w:szCs w:val="24"/>
        </w:rPr>
        <w:t>Landkreis</w:t>
      </w:r>
      <w:proofErr w:type="spellEnd"/>
      <w:r w:rsidRPr="00FA7387">
        <w:rPr>
          <w:rFonts w:ascii="Times New Roman" w:hAnsi="Times New Roman" w:cs="Times New Roman"/>
          <w:i/>
          <w:iCs/>
          <w:color w:val="000000" w:themeColor="text1"/>
          <w:sz w:val="24"/>
          <w:szCs w:val="24"/>
        </w:rPr>
        <w:t xml:space="preserve"> </w:t>
      </w:r>
      <w:proofErr w:type="spellStart"/>
      <w:r w:rsidRPr="00FA7387">
        <w:rPr>
          <w:rFonts w:ascii="Times New Roman" w:hAnsi="Times New Roman" w:cs="Times New Roman"/>
          <w:i/>
          <w:iCs/>
          <w:color w:val="000000" w:themeColor="text1"/>
          <w:sz w:val="24"/>
          <w:szCs w:val="24"/>
        </w:rPr>
        <w:t>Harburg</w:t>
      </w:r>
      <w:proofErr w:type="spellEnd"/>
      <w:r>
        <w:rPr>
          <w:rFonts w:ascii="Times New Roman" w:hAnsi="Times New Roman" w:cs="Times New Roman"/>
          <w:i/>
          <w:iCs/>
          <w:color w:val="000000" w:themeColor="text1"/>
          <w:sz w:val="24"/>
          <w:szCs w:val="24"/>
        </w:rPr>
        <w:t>-</w:t>
      </w:r>
      <w:r w:rsidRPr="00FA7387">
        <w:rPr>
          <w:rFonts w:ascii="Times New Roman" w:hAnsi="Times New Roman" w:cs="Times New Roman"/>
          <w:i/>
          <w:iCs/>
          <w:color w:val="000000" w:themeColor="text1"/>
          <w:sz w:val="24"/>
          <w:szCs w:val="24"/>
        </w:rPr>
        <w:t xml:space="preserve">ítélettel: a Bíróság az ügyben arra a kérdésre kereste a választ, hogy a jogosult szokásos tartózkodási helyén alapuló joghatósági szabályra hivatkozhat-e olyan közintézmény, amelyre az eredeti jogosult tartási igénye törvény erejénél fogva szállt át. Az ügy egyik érdekessége, hogy a Bíróság 2004-ben a </w:t>
      </w:r>
      <w:proofErr w:type="spellStart"/>
      <w:r w:rsidRPr="00FA7387">
        <w:rPr>
          <w:rFonts w:ascii="Times New Roman" w:hAnsi="Times New Roman" w:cs="Times New Roman"/>
          <w:i/>
          <w:iCs/>
          <w:color w:val="000000" w:themeColor="text1"/>
          <w:sz w:val="24"/>
          <w:szCs w:val="24"/>
        </w:rPr>
        <w:t>Blijdenstein</w:t>
      </w:r>
      <w:proofErr w:type="spellEnd"/>
      <w:r w:rsidRPr="00FA7387">
        <w:rPr>
          <w:rFonts w:ascii="Times New Roman" w:hAnsi="Times New Roman" w:cs="Times New Roman"/>
          <w:i/>
          <w:iCs/>
          <w:color w:val="000000" w:themeColor="text1"/>
          <w:sz w:val="24"/>
          <w:szCs w:val="24"/>
        </w:rPr>
        <w:t xml:space="preserve">-ítélettel már adott választ erre a kérdésre: akkor az 1968. évi Brüsszeli Egyezmény 5. cikk 2. pontjában foglalt rendelkezést értelmezte ugyanebből az aspektusból, a 4/2009/EK rendelet által teremtett új jogi környezetben ugyanakkor szükségessé vált a </w:t>
      </w:r>
      <w:proofErr w:type="spellStart"/>
      <w:r w:rsidRPr="00FA7387">
        <w:rPr>
          <w:rFonts w:ascii="Times New Roman" w:hAnsi="Times New Roman" w:cs="Times New Roman"/>
          <w:i/>
          <w:iCs/>
          <w:color w:val="000000" w:themeColor="text1"/>
          <w:sz w:val="24"/>
          <w:szCs w:val="24"/>
        </w:rPr>
        <w:t>Blijdenstein</w:t>
      </w:r>
      <w:proofErr w:type="spellEnd"/>
      <w:r w:rsidRPr="00FA7387">
        <w:rPr>
          <w:rFonts w:ascii="Times New Roman" w:hAnsi="Times New Roman" w:cs="Times New Roman"/>
          <w:i/>
          <w:iCs/>
          <w:color w:val="000000" w:themeColor="text1"/>
          <w:sz w:val="24"/>
          <w:szCs w:val="24"/>
        </w:rPr>
        <w:t>-döntésben adott válasz fenntarthatóság</w:t>
      </w:r>
      <w:r>
        <w:rPr>
          <w:rFonts w:ascii="Times New Roman" w:hAnsi="Times New Roman" w:cs="Times New Roman"/>
          <w:i/>
          <w:iCs/>
          <w:color w:val="000000" w:themeColor="text1"/>
          <w:sz w:val="24"/>
          <w:szCs w:val="24"/>
        </w:rPr>
        <w:t>ának vizsgálat</w:t>
      </w:r>
      <w:r w:rsidRPr="00FA7387">
        <w:rPr>
          <w:rFonts w:ascii="Times New Roman" w:hAnsi="Times New Roman" w:cs="Times New Roman"/>
          <w:i/>
          <w:iCs/>
          <w:color w:val="000000" w:themeColor="text1"/>
          <w:sz w:val="24"/>
          <w:szCs w:val="24"/>
        </w:rPr>
        <w:t>a.</w:t>
      </w:r>
    </w:p>
    <w:p w14:paraId="638C9101"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p>
    <w:p w14:paraId="22A3D06C" w14:textId="77777777" w:rsidR="006F6DF3" w:rsidRPr="00A057F3" w:rsidRDefault="006F6DF3" w:rsidP="006F6DF3">
      <w:pPr>
        <w:spacing w:after="0" w:line="240" w:lineRule="auto"/>
        <w:jc w:val="both"/>
        <w:rPr>
          <w:rFonts w:ascii="Times New Roman" w:hAnsi="Times New Roman" w:cs="Times New Roman"/>
          <w:i/>
          <w:color w:val="000000" w:themeColor="text1"/>
          <w:sz w:val="24"/>
          <w:szCs w:val="24"/>
        </w:rPr>
      </w:pPr>
      <w:r w:rsidRPr="00A057F3">
        <w:rPr>
          <w:rFonts w:ascii="Times New Roman" w:hAnsi="Times New Roman" w:cs="Times New Roman"/>
          <w:i/>
          <w:color w:val="000000" w:themeColor="text1"/>
          <w:sz w:val="24"/>
          <w:szCs w:val="24"/>
        </w:rPr>
        <w:t>Alka</w:t>
      </w:r>
      <w:r>
        <w:rPr>
          <w:rFonts w:ascii="Times New Roman" w:hAnsi="Times New Roman" w:cs="Times New Roman"/>
          <w:i/>
          <w:color w:val="000000" w:themeColor="text1"/>
          <w:sz w:val="24"/>
          <w:szCs w:val="24"/>
        </w:rPr>
        <w:t>l</w:t>
      </w:r>
      <w:r w:rsidRPr="00A057F3">
        <w:rPr>
          <w:rFonts w:ascii="Times New Roman" w:hAnsi="Times New Roman" w:cs="Times New Roman"/>
          <w:i/>
          <w:color w:val="000000" w:themeColor="text1"/>
          <w:sz w:val="24"/>
          <w:szCs w:val="24"/>
        </w:rPr>
        <w:t xml:space="preserve">mazott jogszabályhelyek: 4/2009/EK </w:t>
      </w:r>
      <w:r>
        <w:rPr>
          <w:rFonts w:ascii="Times New Roman" w:hAnsi="Times New Roman" w:cs="Times New Roman"/>
          <w:i/>
          <w:color w:val="000000" w:themeColor="text1"/>
          <w:sz w:val="24"/>
          <w:szCs w:val="24"/>
        </w:rPr>
        <w:t xml:space="preserve">tanácsi </w:t>
      </w:r>
      <w:r w:rsidRPr="00A057F3">
        <w:rPr>
          <w:rFonts w:ascii="Times New Roman" w:hAnsi="Times New Roman" w:cs="Times New Roman"/>
          <w:i/>
          <w:color w:val="000000" w:themeColor="text1"/>
          <w:sz w:val="24"/>
          <w:szCs w:val="24"/>
        </w:rPr>
        <w:t>rendelet 2. cikk (1) bekezdés 10. pont, 3. cikk b) pont, 64. cikk</w:t>
      </w:r>
    </w:p>
    <w:p w14:paraId="017F78C9"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p>
    <w:p w14:paraId="62478FE6" w14:textId="4DB16D60" w:rsidR="006F6DF3" w:rsidRDefault="006F6DF3" w:rsidP="006F6DF3">
      <w:pPr>
        <w:spacing w:after="0" w:line="240" w:lineRule="auto"/>
        <w:jc w:val="both"/>
        <w:rPr>
          <w:rFonts w:ascii="Times New Roman" w:hAnsi="Times New Roman" w:cs="Times New Roman"/>
          <w:i/>
          <w:color w:val="000000" w:themeColor="text1"/>
          <w:sz w:val="24"/>
          <w:szCs w:val="24"/>
        </w:rPr>
      </w:pPr>
      <w:r w:rsidRPr="000D259E">
        <w:rPr>
          <w:rFonts w:ascii="Times New Roman" w:hAnsi="Times New Roman" w:cs="Times New Roman"/>
          <w:i/>
          <w:color w:val="000000" w:themeColor="text1"/>
          <w:sz w:val="24"/>
          <w:szCs w:val="24"/>
        </w:rPr>
        <w:t>Címkék: tartási ügy; joghatóság a tartással kapcsolatos ügyekben; a tartásra jogosult szokásos tartózkodási helye szerinti bíróság; a tartásra jogosult jogaiba lépő közintézmény által indított visszkereset; tartásra jogosult</w:t>
      </w:r>
    </w:p>
    <w:p w14:paraId="2ABDE440" w14:textId="51EA4610" w:rsidR="006F6DF3" w:rsidRDefault="006F6DF3" w:rsidP="006F6DF3">
      <w:pPr>
        <w:spacing w:after="0" w:line="240" w:lineRule="auto"/>
        <w:jc w:val="both"/>
        <w:rPr>
          <w:rFonts w:ascii="Times New Roman" w:hAnsi="Times New Roman" w:cs="Times New Roman"/>
          <w:i/>
          <w:color w:val="000000" w:themeColor="text1"/>
          <w:sz w:val="24"/>
          <w:szCs w:val="24"/>
        </w:rPr>
      </w:pPr>
    </w:p>
    <w:p w14:paraId="34832783" w14:textId="77777777" w:rsidR="006F6DF3" w:rsidRPr="00493BFE" w:rsidRDefault="006F6DF3" w:rsidP="006F6DF3">
      <w:pPr>
        <w:spacing w:after="0" w:line="240" w:lineRule="auto"/>
        <w:jc w:val="center"/>
        <w:rPr>
          <w:rFonts w:ascii="Times New Roman" w:hAnsi="Times New Roman" w:cs="Times New Roman"/>
          <w:i/>
          <w:iCs/>
          <w:color w:val="000000" w:themeColor="text1"/>
          <w:sz w:val="24"/>
          <w:szCs w:val="24"/>
        </w:rPr>
      </w:pPr>
      <w:r w:rsidRPr="00493BFE">
        <w:rPr>
          <w:rFonts w:ascii="Times New Roman" w:hAnsi="Times New Roman" w:cs="Times New Roman"/>
          <w:b/>
          <w:i/>
          <w:iCs/>
          <w:color w:val="000000" w:themeColor="text1"/>
          <w:sz w:val="24"/>
          <w:szCs w:val="24"/>
        </w:rPr>
        <w:t>5. Az ítélet kritikája</w:t>
      </w:r>
    </w:p>
    <w:p w14:paraId="268F9FB0" w14:textId="77777777" w:rsidR="006F6DF3" w:rsidRPr="00493BFE" w:rsidRDefault="006F6DF3" w:rsidP="006F6DF3">
      <w:pPr>
        <w:spacing w:after="0" w:line="240" w:lineRule="auto"/>
        <w:jc w:val="center"/>
        <w:rPr>
          <w:rFonts w:ascii="Times New Roman" w:hAnsi="Times New Roman" w:cs="Times New Roman"/>
          <w:b/>
          <w:bCs/>
          <w:i/>
          <w:iCs/>
          <w:color w:val="000000" w:themeColor="text1"/>
          <w:sz w:val="24"/>
          <w:szCs w:val="24"/>
        </w:rPr>
      </w:pPr>
      <w:r w:rsidRPr="00493BFE">
        <w:rPr>
          <w:rFonts w:ascii="Times New Roman" w:hAnsi="Times New Roman" w:cs="Times New Roman"/>
          <w:b/>
          <w:bCs/>
          <w:i/>
          <w:iCs/>
          <w:color w:val="000000" w:themeColor="text1"/>
          <w:sz w:val="24"/>
          <w:szCs w:val="24"/>
        </w:rPr>
        <w:t>5.1. Bevezetés</w:t>
      </w:r>
    </w:p>
    <w:p w14:paraId="37CE3515" w14:textId="40968C43" w:rsidR="006F6DF3" w:rsidRPr="00FA7387"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[45] Mindamellett, hogy az Európai Unió Bíróságának döntése mind jogelméleti, mind jogalkalmazási szempontból meggyőző, a jogeset elemzése során érdemes kitérni arra is, hogy mivel maradt adós az ítélet indokolása. Ennek kapcsán két kérdéskört érintek. Egyrészt az ítélet nyitva hagyja a közintézmény [4/2009/EK rendelet (14) preambulumbekezdés, 64. cikk] fogalmának értelmezését, noha ez az ügy alkalmas lehetett volna bizonyos támpontok nyújtására. Másrészt az ítélet egyáltalán nem reflektál az ügynek arra az aspektusára, hogy a perbelihez hasonló tagállami szabályozásban megjelenő törvényi engedménynek egyáltalán lehet-e kihatása az európai uniós joghatósági rendszerre.</w:t>
      </w:r>
    </w:p>
    <w:p w14:paraId="40754E43" w14:textId="77777777" w:rsidR="000C01D8" w:rsidRDefault="000C01D8" w:rsidP="006F6DF3">
      <w:pPr>
        <w:spacing w:after="0" w:line="240" w:lineRule="auto"/>
        <w:jc w:val="center"/>
        <w:rPr>
          <w:rFonts w:ascii="Times New Roman" w:hAnsi="Times New Roman" w:cs="Times New Roman"/>
          <w:b/>
          <w:bCs/>
          <w:i/>
          <w:color w:val="000000" w:themeColor="text1"/>
          <w:sz w:val="24"/>
          <w:szCs w:val="24"/>
        </w:rPr>
      </w:pPr>
      <w:bookmarkStart w:id="5" w:name="_Toc519836020"/>
    </w:p>
    <w:p w14:paraId="7CD73992" w14:textId="2A56011C" w:rsidR="006F6DF3" w:rsidRPr="00815D94" w:rsidRDefault="006F6DF3" w:rsidP="006F6DF3">
      <w:pPr>
        <w:spacing w:after="0" w:line="240" w:lineRule="auto"/>
        <w:jc w:val="center"/>
        <w:rPr>
          <w:rFonts w:ascii="Times New Roman" w:hAnsi="Times New Roman" w:cs="Times New Roman"/>
          <w:b/>
          <w:bCs/>
          <w:color w:val="000000" w:themeColor="text1"/>
          <w:sz w:val="24"/>
          <w:szCs w:val="24"/>
        </w:rPr>
      </w:pPr>
      <w:r w:rsidRPr="00815D94">
        <w:rPr>
          <w:rFonts w:ascii="Times New Roman" w:hAnsi="Times New Roman" w:cs="Times New Roman"/>
          <w:b/>
          <w:bCs/>
          <w:i/>
          <w:color w:val="000000" w:themeColor="text1"/>
          <w:sz w:val="24"/>
          <w:szCs w:val="24"/>
        </w:rPr>
        <w:lastRenderedPageBreak/>
        <w:t>5.2. A közintézmény fogalma</w:t>
      </w:r>
      <w:bookmarkEnd w:id="5"/>
    </w:p>
    <w:p w14:paraId="67C89929"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 xml:space="preserve">[46] A 4/2009/EK rendelet közintézményként, a 2007. évi hágai egyezmény állami szervként jelöli meg e speciális jogosultakat, azonban a két kifejezés </w:t>
      </w:r>
      <w:proofErr w:type="spellStart"/>
      <w:r w:rsidRPr="00FA7387">
        <w:rPr>
          <w:rFonts w:ascii="Times New Roman" w:hAnsi="Times New Roman" w:cs="Times New Roman"/>
          <w:color w:val="000000" w:themeColor="text1"/>
          <w:sz w:val="24"/>
          <w:szCs w:val="24"/>
        </w:rPr>
        <w:t>tartalmilag</w:t>
      </w:r>
      <w:proofErr w:type="spellEnd"/>
      <w:r w:rsidRPr="00FA7387">
        <w:rPr>
          <w:rFonts w:ascii="Times New Roman" w:hAnsi="Times New Roman" w:cs="Times New Roman"/>
          <w:color w:val="000000" w:themeColor="text1"/>
          <w:sz w:val="24"/>
          <w:szCs w:val="24"/>
        </w:rPr>
        <w:t xml:space="preserve"> ugyanazt takarja.</w:t>
      </w:r>
      <w:r w:rsidRPr="00FA7387">
        <w:rPr>
          <w:rStyle w:val="Lbjegyzet-hivatkozs"/>
          <w:rFonts w:ascii="Times New Roman" w:hAnsi="Times New Roman" w:cs="Times New Roman"/>
          <w:color w:val="000000" w:themeColor="text1"/>
          <w:sz w:val="24"/>
          <w:szCs w:val="24"/>
        </w:rPr>
        <w:footnoteReference w:id="12"/>
      </w:r>
      <w:r w:rsidRPr="00FA7387">
        <w:rPr>
          <w:rFonts w:ascii="Times New Roman" w:hAnsi="Times New Roman" w:cs="Times New Roman"/>
          <w:color w:val="000000" w:themeColor="text1"/>
          <w:sz w:val="24"/>
          <w:szCs w:val="24"/>
        </w:rPr>
        <w:t xml:space="preserve"> A fogalmat először az 1973. évi hágai végrehajtási egyezmény használta anélkül, hogy azt definiálta volna. Sem a 4/2009/EK rendelet, sem a 2007. évi hágai egyezmény nem ad precíz fogalommeghatározást a közintézményekre. A 4/2009/EK rendelet preambuluma annyiban visz közelebb a fogalom tartalmát illetően, hogy kimondja: „Helyénvaló e rendeletben arról is rendelkezni, hogy a </w:t>
      </w:r>
      <w:r w:rsidRPr="00815D94">
        <w:rPr>
          <w:rFonts w:ascii="Times New Roman" w:hAnsi="Times New Roman" w:cs="Times New Roman"/>
          <w:color w:val="000000" w:themeColor="text1"/>
          <w:sz w:val="24"/>
          <w:szCs w:val="24"/>
        </w:rPr>
        <w:t>»</w:t>
      </w:r>
      <w:r w:rsidRPr="00FA7387">
        <w:rPr>
          <w:rFonts w:ascii="Times New Roman" w:hAnsi="Times New Roman" w:cs="Times New Roman"/>
          <w:color w:val="000000" w:themeColor="text1"/>
          <w:sz w:val="24"/>
          <w:szCs w:val="24"/>
        </w:rPr>
        <w:t>jogosult</w:t>
      </w:r>
      <w:r w:rsidRPr="00815D94">
        <w:rPr>
          <w:rFonts w:ascii="Times New Roman" w:hAnsi="Times New Roman" w:cs="Times New Roman"/>
          <w:color w:val="000000" w:themeColor="text1"/>
          <w:sz w:val="24"/>
          <w:szCs w:val="24"/>
        </w:rPr>
        <w:t>«</w:t>
      </w:r>
      <w:r w:rsidRPr="00FA7387">
        <w:rPr>
          <w:rFonts w:ascii="Times New Roman" w:hAnsi="Times New Roman" w:cs="Times New Roman"/>
          <w:color w:val="000000" w:themeColor="text1"/>
          <w:sz w:val="24"/>
          <w:szCs w:val="24"/>
        </w:rPr>
        <w:t xml:space="preserve"> kifejezés azokat a közintézményeket is magában foglalja, amelyeknek a tartási kötelezettségre vonatkozó határozat elismerése és végrehajtása iránti kérelem céljából jogukban áll a tartásra jogosult személy helyett eljárni, vagy tartás címén a jogosultnak nyújtott ellátások után visszatérítést követelni.”</w:t>
      </w:r>
      <w:r w:rsidRPr="00FA7387">
        <w:rPr>
          <w:rStyle w:val="Lbjegyzet-hivatkozs"/>
          <w:rFonts w:ascii="Times New Roman" w:hAnsi="Times New Roman" w:cs="Times New Roman"/>
          <w:color w:val="000000" w:themeColor="text1"/>
          <w:sz w:val="24"/>
          <w:szCs w:val="24"/>
        </w:rPr>
        <w:footnoteReference w:id="13"/>
      </w:r>
    </w:p>
    <w:p w14:paraId="15A8B54E"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[47] A 4/2009/EK rendelet és a 2007. évi hágai egyezmény alapján a közintézmény kétféle típusa különíthető el. Az egyik típus a tartásra jogosult személy helyett jogosult eljárni a tartási igény érvényesítése érdekében, ilyen például a tartási követeléseket behajtó holland nemzeti iroda (</w:t>
      </w:r>
      <w:proofErr w:type="spellStart"/>
      <w:r w:rsidRPr="00FA7387">
        <w:rPr>
          <w:rFonts w:ascii="Times New Roman" w:hAnsi="Times New Roman" w:cs="Times New Roman"/>
          <w:i/>
          <w:color w:val="000000" w:themeColor="text1"/>
          <w:sz w:val="24"/>
          <w:szCs w:val="24"/>
        </w:rPr>
        <w:t>Landelijk</w:t>
      </w:r>
      <w:proofErr w:type="spellEnd"/>
      <w:r w:rsidRPr="00FA7387">
        <w:rPr>
          <w:rFonts w:ascii="Times New Roman" w:hAnsi="Times New Roman" w:cs="Times New Roman"/>
          <w:i/>
          <w:color w:val="000000" w:themeColor="text1"/>
          <w:sz w:val="24"/>
          <w:szCs w:val="24"/>
        </w:rPr>
        <w:t xml:space="preserve"> </w:t>
      </w:r>
      <w:proofErr w:type="spellStart"/>
      <w:r w:rsidRPr="00FA7387">
        <w:rPr>
          <w:rFonts w:ascii="Times New Roman" w:hAnsi="Times New Roman" w:cs="Times New Roman"/>
          <w:i/>
          <w:color w:val="000000" w:themeColor="text1"/>
          <w:sz w:val="24"/>
          <w:szCs w:val="24"/>
        </w:rPr>
        <w:t>Bureau</w:t>
      </w:r>
      <w:proofErr w:type="spellEnd"/>
      <w:r w:rsidRPr="00FA7387">
        <w:rPr>
          <w:rFonts w:ascii="Times New Roman" w:hAnsi="Times New Roman" w:cs="Times New Roman"/>
          <w:i/>
          <w:color w:val="000000" w:themeColor="text1"/>
          <w:sz w:val="24"/>
          <w:szCs w:val="24"/>
        </w:rPr>
        <w:t xml:space="preserve"> Inning </w:t>
      </w:r>
      <w:proofErr w:type="spellStart"/>
      <w:r w:rsidRPr="00FA7387">
        <w:rPr>
          <w:rFonts w:ascii="Times New Roman" w:hAnsi="Times New Roman" w:cs="Times New Roman"/>
          <w:i/>
          <w:color w:val="000000" w:themeColor="text1"/>
          <w:sz w:val="24"/>
          <w:szCs w:val="24"/>
        </w:rPr>
        <w:t>Onderhoudsbijdragen</w:t>
      </w:r>
      <w:proofErr w:type="spellEnd"/>
      <w:r w:rsidRPr="00FA7387">
        <w:rPr>
          <w:rFonts w:ascii="Times New Roman" w:hAnsi="Times New Roman" w:cs="Times New Roman"/>
          <w:i/>
          <w:color w:val="000000" w:themeColor="text1"/>
          <w:sz w:val="24"/>
          <w:szCs w:val="24"/>
        </w:rPr>
        <w:t>; LBIO</w:t>
      </w:r>
      <w:r w:rsidRPr="00FA7387">
        <w:rPr>
          <w:rFonts w:ascii="Times New Roman" w:hAnsi="Times New Roman" w:cs="Times New Roman"/>
          <w:color w:val="000000" w:themeColor="text1"/>
          <w:sz w:val="24"/>
          <w:szCs w:val="24"/>
        </w:rPr>
        <w:t>).</w:t>
      </w:r>
      <w:r w:rsidRPr="00FA7387">
        <w:rPr>
          <w:rStyle w:val="Lbjegyzet-hivatkozs"/>
          <w:rFonts w:ascii="Times New Roman" w:hAnsi="Times New Roman" w:cs="Times New Roman"/>
          <w:color w:val="000000" w:themeColor="text1"/>
          <w:sz w:val="24"/>
          <w:szCs w:val="24"/>
        </w:rPr>
        <w:footnoteReference w:id="14"/>
      </w:r>
      <w:r w:rsidRPr="00FA7387">
        <w:rPr>
          <w:rFonts w:ascii="Times New Roman" w:hAnsi="Times New Roman" w:cs="Times New Roman"/>
          <w:color w:val="000000" w:themeColor="text1"/>
          <w:sz w:val="24"/>
          <w:szCs w:val="24"/>
        </w:rPr>
        <w:t xml:space="preserve"> A közintézmények másik változatát képviselik azok a szervezetek, amelyek a jogosult részére tartás címén a kötelezett helyett nyújtott ellátások megtérítése érdekében fordulnak a tartásra köteles személlyel szemben. Példának okáért ebbe a körbe tartoznak a finn, a német vagy a magyar gyámhatóságok, avagy a dán állam. A két típus között az az alapvető különbség, hogy az előbbi a tartásra jogosult helyett képviselőként lép fel, az igény érvényesítője tehát maga a jogosult, az utóbbi esetben viszont a közintézmény törvényi engedmény (</w:t>
      </w:r>
      <w:proofErr w:type="spellStart"/>
      <w:r w:rsidRPr="00FA7387">
        <w:rPr>
          <w:rFonts w:ascii="Times New Roman" w:hAnsi="Times New Roman" w:cs="Times New Roman"/>
          <w:i/>
          <w:color w:val="000000" w:themeColor="text1"/>
          <w:sz w:val="24"/>
          <w:szCs w:val="24"/>
        </w:rPr>
        <w:t>cessio</w:t>
      </w:r>
      <w:proofErr w:type="spellEnd"/>
      <w:r w:rsidRPr="00FA7387">
        <w:rPr>
          <w:rFonts w:ascii="Times New Roman" w:hAnsi="Times New Roman" w:cs="Times New Roman"/>
          <w:i/>
          <w:color w:val="000000" w:themeColor="text1"/>
          <w:sz w:val="24"/>
          <w:szCs w:val="24"/>
        </w:rPr>
        <w:t xml:space="preserve"> </w:t>
      </w:r>
      <w:proofErr w:type="spellStart"/>
      <w:r w:rsidRPr="00FA7387">
        <w:rPr>
          <w:rFonts w:ascii="Times New Roman" w:hAnsi="Times New Roman" w:cs="Times New Roman"/>
          <w:i/>
          <w:color w:val="000000" w:themeColor="text1"/>
          <w:sz w:val="24"/>
          <w:szCs w:val="24"/>
        </w:rPr>
        <w:t>legis</w:t>
      </w:r>
      <w:proofErr w:type="spellEnd"/>
      <w:r w:rsidRPr="00FA7387">
        <w:rPr>
          <w:rFonts w:ascii="Times New Roman" w:hAnsi="Times New Roman" w:cs="Times New Roman"/>
          <w:color w:val="000000" w:themeColor="text1"/>
          <w:sz w:val="24"/>
          <w:szCs w:val="24"/>
        </w:rPr>
        <w:t>) alapján a tartási igényt önállóan érvényesíti</w:t>
      </w:r>
      <w:r>
        <w:rPr>
          <w:rFonts w:ascii="Times New Roman" w:hAnsi="Times New Roman" w:cs="Times New Roman"/>
          <w:color w:val="000000" w:themeColor="text1"/>
          <w:sz w:val="24"/>
          <w:szCs w:val="24"/>
        </w:rPr>
        <w:t>,</w:t>
      </w:r>
      <w:r w:rsidRPr="00FA7387">
        <w:rPr>
          <w:rFonts w:ascii="Times New Roman" w:hAnsi="Times New Roman" w:cs="Times New Roman"/>
          <w:color w:val="000000" w:themeColor="text1"/>
          <w:sz w:val="24"/>
          <w:szCs w:val="24"/>
        </w:rPr>
        <w:t xml:space="preserve"> anélkül azonban, hogy az igénynek anyagi jogi jogosultja lenne.</w:t>
      </w:r>
      <w:r w:rsidRPr="00FA7387">
        <w:rPr>
          <w:rStyle w:val="Lbjegyzet-hivatkozs"/>
          <w:rFonts w:ascii="Times New Roman" w:hAnsi="Times New Roman" w:cs="Times New Roman"/>
          <w:color w:val="000000" w:themeColor="text1"/>
          <w:sz w:val="24"/>
          <w:szCs w:val="24"/>
        </w:rPr>
        <w:footnoteReference w:id="15"/>
      </w:r>
    </w:p>
    <w:p w14:paraId="04402B09"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 xml:space="preserve">[48] A </w:t>
      </w:r>
      <w:proofErr w:type="spellStart"/>
      <w:r w:rsidRPr="00FA7387">
        <w:rPr>
          <w:rFonts w:ascii="Times New Roman" w:hAnsi="Times New Roman" w:cs="Times New Roman"/>
          <w:color w:val="000000" w:themeColor="text1"/>
          <w:sz w:val="24"/>
          <w:szCs w:val="24"/>
        </w:rPr>
        <w:t>Landkreis</w:t>
      </w:r>
      <w:proofErr w:type="spellEnd"/>
      <w:r w:rsidRPr="00FA7387">
        <w:rPr>
          <w:rFonts w:ascii="Times New Roman" w:hAnsi="Times New Roman" w:cs="Times New Roman"/>
          <w:color w:val="000000" w:themeColor="text1"/>
          <w:sz w:val="24"/>
          <w:szCs w:val="24"/>
        </w:rPr>
        <w:t xml:space="preserve"> </w:t>
      </w:r>
      <w:proofErr w:type="spellStart"/>
      <w:r w:rsidRPr="00FA7387">
        <w:rPr>
          <w:rFonts w:ascii="Times New Roman" w:hAnsi="Times New Roman" w:cs="Times New Roman"/>
          <w:color w:val="000000" w:themeColor="text1"/>
          <w:sz w:val="24"/>
          <w:szCs w:val="24"/>
        </w:rPr>
        <w:t>Harburg</w:t>
      </w:r>
      <w:proofErr w:type="spellEnd"/>
      <w:r w:rsidRPr="00FA7387">
        <w:rPr>
          <w:rFonts w:ascii="Times New Roman" w:hAnsi="Times New Roman" w:cs="Times New Roman"/>
          <w:color w:val="000000" w:themeColor="text1"/>
          <w:sz w:val="24"/>
          <w:szCs w:val="24"/>
        </w:rPr>
        <w:t xml:space="preserve"> ítéletben kézenfekvő lett volna a közintézmény fogalmának, alapvető jellemzőinek körülírása, az ítélet azonban erről hallgat.</w:t>
      </w:r>
    </w:p>
    <w:p w14:paraId="238EB359" w14:textId="57ABFBA4" w:rsidR="006F6DF3"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[49] A jogirodalomban elérhető állásfoglalások szerint a közintézmény fogalmát tágan kell értelmezni.</w:t>
      </w:r>
      <w:r w:rsidRPr="00FA7387">
        <w:rPr>
          <w:rStyle w:val="Lbjegyzet-hivatkozs"/>
          <w:rFonts w:ascii="Times New Roman" w:hAnsi="Times New Roman" w:cs="Times New Roman"/>
          <w:color w:val="000000" w:themeColor="text1"/>
          <w:sz w:val="24"/>
          <w:szCs w:val="24"/>
        </w:rPr>
        <w:footnoteReference w:id="16"/>
      </w:r>
      <w:r w:rsidRPr="00FA7387">
        <w:rPr>
          <w:rFonts w:ascii="Times New Roman" w:hAnsi="Times New Roman" w:cs="Times New Roman"/>
          <w:color w:val="000000" w:themeColor="text1"/>
          <w:sz w:val="24"/>
          <w:szCs w:val="24"/>
        </w:rPr>
        <w:t xml:space="preserve"> A közintézménynek hatáskörrel kell rendelkeznie a tartási szolgáltatások nyújtására és/vagy a tartási ügyek intézésére; a hatáskör gyakorlásának az államra visszavezethetőnek, a tevékenységének államilag elismertnek és közfeladat jellegűnek kell lennie.</w:t>
      </w:r>
      <w:r w:rsidRPr="00FA7387">
        <w:rPr>
          <w:rStyle w:val="Lbjegyzet-hivatkozs"/>
          <w:rFonts w:ascii="Times New Roman" w:hAnsi="Times New Roman" w:cs="Times New Roman"/>
          <w:color w:val="000000" w:themeColor="text1"/>
          <w:sz w:val="24"/>
          <w:szCs w:val="24"/>
        </w:rPr>
        <w:footnoteReference w:id="17"/>
      </w:r>
    </w:p>
    <w:p w14:paraId="7BE1A10F" w14:textId="77777777" w:rsidR="000C01D8" w:rsidRPr="000C01D8" w:rsidRDefault="000C01D8" w:rsidP="006F6DF3">
      <w:pPr>
        <w:spacing w:after="0" w:line="240" w:lineRule="auto"/>
        <w:jc w:val="both"/>
        <w:rPr>
          <w:rFonts w:ascii="Times New Roman" w:hAnsi="Times New Roman" w:cs="Times New Roman"/>
          <w:color w:val="000000" w:themeColor="text1"/>
          <w:sz w:val="24"/>
          <w:szCs w:val="24"/>
        </w:rPr>
      </w:pPr>
    </w:p>
    <w:p w14:paraId="67E504FD" w14:textId="297E73E4" w:rsidR="003579BF" w:rsidRDefault="006F6DF3" w:rsidP="4B428B2C">
      <w:pPr>
        <w:spacing w:after="0" w:line="240" w:lineRule="auto"/>
        <w:jc w:val="both"/>
        <w:rPr>
          <w:rFonts w:ascii="Times New Roman" w:hAnsi="Times New Roman" w:cs="Times New Roman"/>
          <w:i/>
          <w:iCs/>
          <w:color w:val="000000" w:themeColor="text1"/>
          <w:sz w:val="24"/>
          <w:szCs w:val="24"/>
        </w:rPr>
        <w:sectPr w:rsidR="003579BF" w:rsidSect="00B92E7E">
          <w:footnotePr>
            <w:numRestart w:val="eachSect"/>
          </w:footnotePr>
          <w:pgSz w:w="11906" w:h="16838"/>
          <w:pgMar w:top="1417" w:right="1417" w:bottom="1417" w:left="1417" w:header="708" w:footer="708" w:gutter="0"/>
          <w:cols w:space="708"/>
        </w:sectPr>
      </w:pPr>
      <w:r w:rsidRPr="4B428B2C">
        <w:rPr>
          <w:rFonts w:ascii="Times New Roman" w:hAnsi="Times New Roman" w:cs="Times New Roman"/>
          <w:i/>
          <w:iCs/>
          <w:color w:val="000000" w:themeColor="text1"/>
          <w:sz w:val="24"/>
          <w:szCs w:val="24"/>
        </w:rPr>
        <w:t>(Megjelent: EU Jog 2021/1–2. sz.)</w:t>
      </w:r>
    </w:p>
    <w:p w14:paraId="271B0A1A" w14:textId="2F41EBDB" w:rsidR="00684037" w:rsidRPr="006F6DF3" w:rsidRDefault="005B460D" w:rsidP="006F6DF3">
      <w:pPr>
        <w:spacing w:after="0" w:line="240" w:lineRule="auto"/>
        <w:jc w:val="both"/>
        <w:rPr>
          <w:rFonts w:ascii="Times New Roman" w:hAnsi="Times New Roman" w:cs="Times New Roman"/>
          <w:color w:val="000000" w:themeColor="text1"/>
          <w:sz w:val="24"/>
          <w:szCs w:val="24"/>
        </w:rPr>
      </w:pPr>
      <w:r>
        <w:rPr>
          <w:noProof/>
        </w:rPr>
        <w:lastRenderedPageBreak/>
        <mc:AlternateContent>
          <mc:Choice Requires="wps">
            <w:drawing>
              <wp:anchor distT="0" distB="0" distL="114300" distR="114300" simplePos="0" relativeHeight="251677696" behindDoc="0" locked="0" layoutInCell="1" allowOverlap="1" wp14:anchorId="0F020169" wp14:editId="2C0E2787">
                <wp:simplePos x="0" y="0"/>
                <wp:positionH relativeFrom="column">
                  <wp:posOffset>0</wp:posOffset>
                </wp:positionH>
                <wp:positionV relativeFrom="paragraph">
                  <wp:posOffset>76200</wp:posOffset>
                </wp:positionV>
                <wp:extent cx="5816600" cy="0"/>
                <wp:effectExtent l="0" t="0" r="12700" b="12700"/>
                <wp:wrapNone/>
                <wp:docPr id="10" name="Egyenes összekötő 10"/>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Egyenes összekötő 10"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6pt" to="458pt,6pt" w14:anchorId="1B74F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WTwwEAAMcDAAAOAAAAZHJzL2Uyb0RvYy54bWysU12O1DAMfkfiDlHembYrMVpV09mHXeAF&#10;wYifA2RTZxqRP8Vh2nILLrMXWHEvnMxMFwES2hUvbhz7s/19cTdXkzXsABG1dx1vVjVn4KTvtdt3&#10;/POn1y8uOcMkXC+Md9DxGZBfbZ8/24yhhQs/eNNDZFTEYTuGjg8phbaqUA5gBa58AEdB5aMVidy4&#10;r/ooRqpuTXVR1+tq9LEP0UtApNubY5BvS32lQKb3SiEkZjpOs6ViY7G32VbbjWj3UYRBy9MY4glT&#10;WKEdNV1K3Ygk2Neo/yhltYwevUor6W3lldISCgdi09S/sfk4iACFC4mDYZEJ/19Z+e6wi0z39HYk&#10;jxOW3ujVfgYHyO7vEL/Bl/u79OM7ozBpNQZsCXLtdvHkYdjFTHxS0eYvUWJT0Xde9IUpMUmXLy+b&#10;9bqmPvIcqx6AIWJ6A96yfOi40S5TF604vMVEzSj1nEJOHuTYupzSbCAnG/cBFNGhZk1Bl0WCaxPZ&#10;QdAKCCnBpSZToXolO8OUNmYB1v8GnvIzFMqSPQa8IEpn79ICttr5+LfuaTqPrI75ZwWOvLMEt76f&#10;y6MUaWhbCsPTZud1/NUv8If/b/sTAAD//wMAUEsDBBQABgAIAAAAIQDSIYm73wAAAAsBAAAPAAAA&#10;ZHJzL2Rvd25yZXYueG1sTE9NT8JAEL2b8B82Q+JNtvRAtHRLCMSIJIaIJnhcumNb6c42uwst/94x&#10;HvQyH+9l3ryXLwbbigv60DhSMJ0kIJBKZxqqFLy/Pd7dgwhRk9GtI1RwxQCLYnST68y4nl7xso+V&#10;YBEKmVZQx9hlUoayRqvDxHVIzH06b3Xk1VfSeN2zuG1lmiQzaXVD/KHWHa5qLE/7s1Xw4jeb1XJ7&#10;/aLdh+0P6fawex6elLodD+s5l+UcRMQh/l3ATwb2DwUbO7ozmSBaBZwmMppyZ/ZhOuPh+AvIIpf/&#10;MxTfAAAA//8DAFBLAQItABQABgAIAAAAIQC2gziS/gAAAOEBAAATAAAAAAAAAAAAAAAAAAAAAABb&#10;Q29udGVudF9UeXBlc10ueG1sUEsBAi0AFAAGAAgAAAAhADj9If/WAAAAlAEAAAsAAAAAAAAAAAAA&#10;AAAALwEAAF9yZWxzLy5yZWxzUEsBAi0AFAAGAAgAAAAhAFQyNZPDAQAAxwMAAA4AAAAAAAAAAAAA&#10;AAAALgIAAGRycy9lMm9Eb2MueG1sUEsBAi0AFAAGAAgAAAAhANIhibvfAAAACwEAAA8AAAAAAAAA&#10;AAAAAAAAHQQAAGRycy9kb3ducmV2LnhtbFBLBQYAAAAABAAEAPMAAAApBQAAAAA=&#10;">
                <v:stroke joinstyle="miter"/>
              </v:line>
            </w:pict>
          </mc:Fallback>
        </mc:AlternateContent>
      </w:r>
    </w:p>
    <w:p w14:paraId="56D3EA0E" w14:textId="10CDA7D8" w:rsidR="00B92E7E" w:rsidRDefault="00B92E7E" w:rsidP="003579BF">
      <w:pPr>
        <w:pStyle w:val="Default"/>
        <w:jc w:val="center"/>
        <w:rPr>
          <w:b/>
          <w:bCs/>
          <w:color w:val="FF0000"/>
        </w:rPr>
      </w:pPr>
      <w:r>
        <w:rPr>
          <w:b/>
          <w:bCs/>
          <w:color w:val="000000" w:themeColor="text1"/>
        </w:rPr>
        <w:t>4</w:t>
      </w:r>
      <w:r w:rsidRPr="00EF3A89">
        <w:rPr>
          <w:b/>
          <w:bCs/>
          <w:color w:val="000000" w:themeColor="text1"/>
        </w:rPr>
        <w:t xml:space="preserve">. </w:t>
      </w:r>
      <w:r>
        <w:rPr>
          <w:b/>
          <w:bCs/>
          <w:color w:val="FF0000"/>
        </w:rPr>
        <w:t>FÓRUM:</w:t>
      </w:r>
    </w:p>
    <w:p w14:paraId="1AC704BD" w14:textId="77777777" w:rsidR="00B92E7E" w:rsidRDefault="00B92E7E" w:rsidP="00B92E7E">
      <w:pPr>
        <w:pStyle w:val="Default"/>
        <w:jc w:val="center"/>
        <w:rPr>
          <w:b/>
          <w:bCs/>
        </w:rPr>
      </w:pPr>
    </w:p>
    <w:p w14:paraId="600D7E7B" w14:textId="77777777" w:rsidR="00B92E7E" w:rsidRPr="00235CC9"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lehetnek alcímek</w:t>
      </w:r>
    </w:p>
    <w:p w14:paraId="00BA1AE4" w14:textId="77777777" w:rsidR="00B92E7E" w:rsidRPr="00235CC9"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 alatt a bekezdésszámozás folyamatos</w:t>
      </w:r>
    </w:p>
    <w:p w14:paraId="7EA64702" w14:textId="77777777" w:rsidR="00B92E7E" w:rsidRPr="00235CC9"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alcímekhez többszintű decimális számozást is lehet használni</w:t>
      </w:r>
    </w:p>
    <w:p w14:paraId="4BFF220C" w14:textId="77777777" w:rsidR="00B92E7E"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–vannak lábjegyzetek – ezeknek a formátuma kötött, a mintában szereplő módon kell megjelenniük</w:t>
      </w:r>
      <w:r>
        <w:rPr>
          <w:rFonts w:ascii="Times New Roman" w:eastAsia="Times New Roman" w:hAnsi="Times New Roman" w:cs="Times New Roman"/>
          <w:bCs/>
          <w:sz w:val="24"/>
          <w:szCs w:val="24"/>
        </w:rPr>
        <w:t xml:space="preserve"> mind a döntvényeknek, mind a szakirodalmi hivatkozásoknak</w:t>
      </w:r>
    </w:p>
    <w:p w14:paraId="18462A5D" w14:textId="619918FF" w:rsidR="00B92E7E" w:rsidRPr="003579BF" w:rsidRDefault="003579BF" w:rsidP="003579BF">
      <w:pPr>
        <w:spacing w:after="0" w:line="240" w:lineRule="auto"/>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669504" behindDoc="0" locked="0" layoutInCell="1" allowOverlap="1" wp14:anchorId="2B8F4D0C" wp14:editId="0AD67D7F">
                <wp:simplePos x="0" y="0"/>
                <wp:positionH relativeFrom="column">
                  <wp:posOffset>0</wp:posOffset>
                </wp:positionH>
                <wp:positionV relativeFrom="paragraph">
                  <wp:posOffset>67099</wp:posOffset>
                </wp:positionV>
                <wp:extent cx="5816600" cy="0"/>
                <wp:effectExtent l="0" t="0" r="12700" b="12700"/>
                <wp:wrapNone/>
                <wp:docPr id="5" name="Egyenes összekötő 5"/>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Egyenes összekötő 5"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5.3pt" to="458pt,5.3pt" w14:anchorId="4C5F0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j1xAEAAMUDAAAOAAAAZHJzL2Uyb0RvYy54bWysU0tu2zAQ3RfoHQjua8kBbASC5SyStpui&#10;Nfo5AEMNLaL8gcNaUm/Ry+QCQe/VIW0rQVsgSNENxSHnvZn3ONpcjdawA0TU3rV8uag5Ayd9p92+&#10;5V8+v3l1yRkm4TphvIOWT4D8avvyxWYIDVz43psOIiMSh80QWt6nFJqqQtmDFbjwARxdKh+tSBTG&#10;fdVFMRC7NdVFXa+rwccuRC8BkU5vjpd8W/iVApk+KIWQmGk59ZbKGst6m9dquxHNPorQa3lqQ/xD&#10;F1ZoR0VnqhuRBPsW9R9UVsvo0au0kN5WXiktoWggNcv6NzWfehGgaCFzMMw24f+jle8Pu8h01/IV&#10;Z05YeqLX+wkcILu/Q/wOX+/v0s8fbJWdGgI2BLh2u3iKMOxilj2qaPOXBLGxuDvN7sKYmKTD1eVy&#10;va7pEeT5rnoAhojpLXjL8qblRrssXDTi8A4TFaPUcwoFuZFj6bJLk4GcbNxHUCSGii0LuowRXJvI&#10;DoIGQEgJLi2zFOIr2RmmtDEzsH4aeMrPUCgj9hzwjCiVvUsz2Grn49+qp/Hcsjrmnx046s4W3Ppu&#10;Ko9SrKFZKQpPc52H8XFc4A9/3/YXAAAA//8DAFBLAwQUAAYACAAAACEAzoPK/+AAAAALAQAADwAA&#10;AGRycy9kb3ducmV2LnhtbEyPQUvDQBCF70L/wzIFb3bTHoKm2ZTSItaCFKtQj9vsmMRmZ8Putkn/&#10;vSMe9DIw32PevJcvBtuKC/rQOFIwnSQgkEpnGqoUvL893t2DCFGT0a0jVHDFAItidJPrzLieXvGy&#10;j5VgEwqZVlDH2GVShrJGq8PEdUisfTpvdeTVV9J43bO5beUsSVJpdUP8odYdrmosT/uzVfDiN5vV&#10;cnv9ot2H7Q+z7WH3PDwpdTse1nMeyzmIiEP8u4CfDpwfCg52dGcyQbQKuE1kmqQgWH2YpgyOv0AW&#10;ufzfofgGAAD//wMAUEsBAi0AFAAGAAgAAAAhALaDOJL+AAAA4QEAABMAAAAAAAAAAAAAAAAAAAAA&#10;AFtDb250ZW50X1R5cGVzXS54bWxQSwECLQAUAAYACAAAACEAOP0h/9YAAACUAQAACwAAAAAAAAAA&#10;AAAAAAAvAQAAX3JlbHMvLnJlbHNQSwECLQAUAAYACAAAACEAcgu49cQBAADFAwAADgAAAAAAAAAA&#10;AAAAAAAuAgAAZHJzL2Uyb0RvYy54bWxQSwECLQAUAAYACAAAACEAzoPK/+AAAAALAQAADwAAAAAA&#10;AAAAAAAAAAAeBAAAZHJzL2Rvd25yZXYueG1sUEsFBgAAAAAEAAQA8wAAACsFAAAAAA==&#10;">
                <v:stroke joinstyle="miter"/>
              </v:line>
            </w:pict>
          </mc:Fallback>
        </mc:AlternateContent>
      </w:r>
    </w:p>
    <w:p w14:paraId="40F0E544" w14:textId="0AAE409E" w:rsidR="00335766" w:rsidRPr="00F5154B" w:rsidRDefault="00335766" w:rsidP="4B428B2C">
      <w:pPr>
        <w:pStyle w:val="Default"/>
        <w:jc w:val="center"/>
        <w:rPr>
          <w:b/>
          <w:bCs/>
        </w:rPr>
      </w:pPr>
      <w:r w:rsidRPr="4B428B2C">
        <w:rPr>
          <w:b/>
          <w:bCs/>
        </w:rPr>
        <w:t>EU Jog 2021/1–2. – Fórum</w:t>
      </w:r>
    </w:p>
    <w:p w14:paraId="749838B1" w14:textId="77777777" w:rsidR="00335766" w:rsidRPr="00F5154B" w:rsidRDefault="00335766" w:rsidP="00335766">
      <w:pPr>
        <w:pStyle w:val="Default"/>
        <w:jc w:val="center"/>
        <w:rPr>
          <w:b/>
        </w:rPr>
      </w:pPr>
      <w:proofErr w:type="spellStart"/>
      <w:r w:rsidRPr="00F5154B">
        <w:rPr>
          <w:b/>
        </w:rPr>
        <w:t>Lehóczki</w:t>
      </w:r>
      <w:proofErr w:type="spellEnd"/>
      <w:r w:rsidRPr="00F5154B">
        <w:rPr>
          <w:b/>
        </w:rPr>
        <w:t xml:space="preserve"> Balázs:</w:t>
      </w:r>
      <w:r w:rsidRPr="00F5154B">
        <w:rPr>
          <w:b/>
          <w:vertAlign w:val="superscript"/>
        </w:rPr>
        <w:footnoteReference w:id="18"/>
      </w:r>
      <w:r w:rsidRPr="00F5154B">
        <w:rPr>
          <w:b/>
        </w:rPr>
        <w:t xml:space="preserve"> Az Európai Bíróság által lezárt magyar előzetes döntéshozatali ügyek</w:t>
      </w:r>
    </w:p>
    <w:p w14:paraId="0EC3DA16" w14:textId="77777777" w:rsidR="00335766" w:rsidRPr="00F5154B" w:rsidRDefault="00335766" w:rsidP="00335766">
      <w:pPr>
        <w:pStyle w:val="Default"/>
        <w:jc w:val="both"/>
        <w:rPr>
          <w:b/>
        </w:rPr>
      </w:pPr>
    </w:p>
    <w:p w14:paraId="0A92342B" w14:textId="77777777" w:rsidR="00335766" w:rsidRPr="00F5154B" w:rsidRDefault="00335766" w:rsidP="00335766">
      <w:pPr>
        <w:pStyle w:val="Default"/>
        <w:rPr>
          <w:bCs/>
          <w:i/>
          <w:iCs/>
        </w:rPr>
      </w:pPr>
      <w:r w:rsidRPr="00F5154B">
        <w:rPr>
          <w:bCs/>
          <w:i/>
          <w:iCs/>
        </w:rPr>
        <w:t>Címkék: előzetes döntéshozatali eljárás, magyar ügyek az Európai Unió Bírósága előtt</w:t>
      </w:r>
    </w:p>
    <w:p w14:paraId="25E8159D" w14:textId="77777777" w:rsidR="00335766" w:rsidRPr="00F5154B" w:rsidRDefault="00335766" w:rsidP="00335766">
      <w:pPr>
        <w:pStyle w:val="Default"/>
      </w:pPr>
    </w:p>
    <w:p w14:paraId="5391E028" w14:textId="77777777" w:rsidR="00335766" w:rsidRPr="00F5154B" w:rsidRDefault="00335766" w:rsidP="00335766">
      <w:pPr>
        <w:pStyle w:val="Default"/>
      </w:pPr>
      <w:r w:rsidRPr="00F5154B">
        <w:t>[1] Ezen összefoglaló célja az Európai Unió Bírósága (a továbbiakban: Bíróság) által Magyarországnak az Európai Unióhoz történő csatlakozása, azaz 2004. május 1-je óta ítélettel lezárt azon előzetes döntéshozatali ügyek bemutatása, amelyeket magyar bíróságok kezdeményeztek a luxembourgi székhelyű testület előtt. Az anyag tehát nem tartalmazza a végzéssel lezárt ügyeket, akkor sem, ha az adott végzés érdemi jellegű volt. Az egyes összefoglalók az érintett ügyek ténybeli és jogi hátterének, a felmerült jogi problémának, valamint a Bíróság döntésének tömör ismertetéséből állnak úgy, hogy főszabály szerint a Bíróság döntésének csak a legfontosabb vezérgondolatai kerülnek bemutatásra az azokat alátámasztó indokolás ismertetése nélkül. Minden összefoglaló előtt feltüntetésre kerül az adott ügy száma, neve, az utaló bíróság megnevezése, az előzetes döntéshozatal iránti kérelem beérkezésének dátuma, valamint a témakör vagy az ügyben eldöntendő fő kérdés.</w:t>
      </w:r>
    </w:p>
    <w:p w14:paraId="1E513A3F" w14:textId="77777777" w:rsidR="00335766" w:rsidRPr="00F5154B" w:rsidRDefault="00335766" w:rsidP="00335766">
      <w:pPr>
        <w:pStyle w:val="Default"/>
        <w:jc w:val="both"/>
        <w:rPr>
          <w:b/>
        </w:rPr>
      </w:pPr>
    </w:p>
    <w:p w14:paraId="2D3442F4" w14:textId="77777777" w:rsidR="00335766" w:rsidRPr="00F5154B" w:rsidRDefault="00335766" w:rsidP="00335766">
      <w:pPr>
        <w:pStyle w:val="Default"/>
        <w:jc w:val="both"/>
        <w:rPr>
          <w:b/>
          <w:bCs/>
          <w:i/>
          <w:iCs/>
        </w:rPr>
      </w:pPr>
      <w:r w:rsidRPr="00F5154B">
        <w:rPr>
          <w:b/>
          <w:bCs/>
          <w:i/>
          <w:iCs/>
        </w:rPr>
        <w:t xml:space="preserve">1. C-302/04 </w:t>
      </w:r>
      <w:proofErr w:type="spellStart"/>
      <w:r w:rsidRPr="00F5154B">
        <w:rPr>
          <w:b/>
          <w:bCs/>
          <w:i/>
          <w:iCs/>
        </w:rPr>
        <w:t>Ynos</w:t>
      </w:r>
      <w:proofErr w:type="spellEnd"/>
      <w:r w:rsidRPr="00F5154B">
        <w:rPr>
          <w:b/>
          <w:bCs/>
          <w:i/>
          <w:iCs/>
        </w:rPr>
        <w:t xml:space="preserve"> / Szombathelyi Városi Bíróság / 2004. július 14. / Fogyasztóvédelem</w:t>
      </w:r>
    </w:p>
    <w:p w14:paraId="48F949BB" w14:textId="77777777" w:rsidR="00335766" w:rsidRPr="00F5154B" w:rsidRDefault="00335766" w:rsidP="00335766">
      <w:pPr>
        <w:pStyle w:val="Default"/>
      </w:pPr>
      <w:r w:rsidRPr="00F5154B">
        <w:t xml:space="preserve">[2] Egy építési vállalkozó 2002 januárjában egy üzletház eladása céljából ingatlanközvetítési szerződést kötött az </w:t>
      </w:r>
      <w:proofErr w:type="spellStart"/>
      <w:r w:rsidRPr="00F5154B">
        <w:t>Ynos</w:t>
      </w:r>
      <w:proofErr w:type="spellEnd"/>
      <w:r w:rsidRPr="00F5154B">
        <w:t xml:space="preserve"> nevű ingatlanügynökséggel. A szerződés egy az </w:t>
      </w:r>
      <w:proofErr w:type="spellStart"/>
      <w:r w:rsidRPr="00F5154B">
        <w:t>Ynos</w:t>
      </w:r>
      <w:proofErr w:type="spellEnd"/>
      <w:r w:rsidRPr="00F5154B">
        <w:t xml:space="preserve"> által rendelkezésre bocsátott szerződésminta alapján készült, amelynek tartalmát a felek egyedileg nem tárgyalták meg. A szerződés szerint a közvetítés akkor tekinthető sikeresnek, ha az </w:t>
      </w:r>
      <w:proofErr w:type="spellStart"/>
      <w:r w:rsidRPr="00F5154B">
        <w:t>Ynos</w:t>
      </w:r>
      <w:proofErr w:type="spellEnd"/>
      <w:r w:rsidRPr="00F5154B">
        <w:t xml:space="preserve"> által közvetített felek között szerződéskötésre kerül sor; a közvetítőt azonban akkor is megilleti a közvetítési díj, ha az ingatlanra valamely ügyfél legalább a közvetítési szerződésben feltüntetett eladási vagy bérleti áron írásbeli ajánlatot tesz, de azt a tulajdonos elutasítaná.</w:t>
      </w:r>
    </w:p>
    <w:p w14:paraId="1E8E6287" w14:textId="77777777" w:rsidR="00335766" w:rsidRPr="00F5154B" w:rsidRDefault="00335766" w:rsidP="00335766">
      <w:pPr>
        <w:pStyle w:val="Default"/>
      </w:pPr>
      <w:r w:rsidRPr="00F5154B">
        <w:t xml:space="preserve">[3] 2002. március 11-én az </w:t>
      </w:r>
      <w:proofErr w:type="spellStart"/>
      <w:r w:rsidRPr="00F5154B">
        <w:t>Ynos</w:t>
      </w:r>
      <w:proofErr w:type="spellEnd"/>
      <w:r w:rsidRPr="00F5154B">
        <w:t xml:space="preserve"> ügyvezetői, az építési vállalkozó és egy potenciális vevő aláírtak egy „elvi megállapodás szerződéskötésre” című okiratot, amelyben rögzítették az eladási árat, és megállapodtak abban, hogy 2002. március 15-ig adásvételi szerződést vagy előszerződést kötnek. A megjelölt időpontig azonban sem végleges adásvételi szerződés, sem előszerződés nem jött létre. Ennek ellenére az </w:t>
      </w:r>
      <w:proofErr w:type="spellStart"/>
      <w:r w:rsidRPr="00F5154B">
        <w:t>Ynos</w:t>
      </w:r>
      <w:proofErr w:type="spellEnd"/>
      <w:r w:rsidRPr="00F5154B">
        <w:t xml:space="preserve"> úgy ítélte meg, hogy közvetítése sikeres volt, és ezért igényt tartott a kialkudott megbízási díjra. Mivel a díj kifizetése nem történt meg, az </w:t>
      </w:r>
      <w:proofErr w:type="spellStart"/>
      <w:r w:rsidRPr="00F5154B">
        <w:t>Ynos</w:t>
      </w:r>
      <w:proofErr w:type="spellEnd"/>
      <w:r w:rsidRPr="00F5154B">
        <w:t xml:space="preserve"> a Szombathelyi Városi Bírósághoz fordult.</w:t>
      </w:r>
    </w:p>
    <w:p w14:paraId="5766957B" w14:textId="77777777" w:rsidR="00335766" w:rsidRPr="00F5154B" w:rsidRDefault="00335766" w:rsidP="00335766">
      <w:pPr>
        <w:pStyle w:val="Default"/>
      </w:pPr>
      <w:r w:rsidRPr="00F5154B">
        <w:t xml:space="preserve">[4] A bíróság előtt az építési vállalkozó többek között arra hivatkozott, hogy a közvetítési szerződés azon kikötése (a tulajdonos által visszautasított megfelelő vételár esetén is járó közvetítői díj), amelyen az </w:t>
      </w:r>
      <w:proofErr w:type="spellStart"/>
      <w:r w:rsidRPr="00F5154B">
        <w:t>Ynos</w:t>
      </w:r>
      <w:proofErr w:type="spellEnd"/>
      <w:r w:rsidRPr="00F5154B">
        <w:t xml:space="preserve"> követelése alapul, tisztességtelen feltételnek minősül, következésképpen a követelt megbízási díjra az </w:t>
      </w:r>
      <w:proofErr w:type="spellStart"/>
      <w:r w:rsidRPr="00F5154B">
        <w:t>Ynos</w:t>
      </w:r>
      <w:proofErr w:type="spellEnd"/>
      <w:r w:rsidRPr="00F5154B">
        <w:t xml:space="preserve"> nem jogosult. E jogvitával összefüggésben a magyar bíróság annak a megvizsgálását kérte az Európai Bíróságtól, hogy a Polgári Törvénykönyvnek (1959. évi IV. törvény, a továbbiakban: 1959-es Ptk.) a </w:t>
      </w:r>
      <w:r w:rsidRPr="00F5154B">
        <w:lastRenderedPageBreak/>
        <w:t>tisztességtelen szerződési feltételekre vonatkozó egyes rendelkezései összhangban vannak-e az uniós fogyasztóvédelmi joggal, amely szerint a fogyasztókkal szemben kikötött tisztességtelen szerződési feltételek semmisek (míg az 1959-es Ptk. szerint az ilyen feltételek csak megtámadhatóak voltak).</w:t>
      </w:r>
    </w:p>
    <w:p w14:paraId="1581719E" w14:textId="77777777" w:rsidR="00335766" w:rsidRPr="00F5154B" w:rsidRDefault="00335766" w:rsidP="00335766">
      <w:pPr>
        <w:pStyle w:val="Default"/>
      </w:pPr>
      <w:r w:rsidRPr="00F5154B">
        <w:t>[5] 2006. január 10-én meghozott ítéletében az Európai Bíróság a hatáskörének hiányát állapította meg a szombathelyi bíróság által feltett kérdések megválaszolására, mivel az alapügy tényállása a Magyar Köztársaság Európai Unióhoz történt csatlakozása előtt keletkezett.</w:t>
      </w:r>
    </w:p>
    <w:p w14:paraId="21F07D63" w14:textId="77777777" w:rsidR="00335766" w:rsidRPr="00F5154B" w:rsidRDefault="00335766" w:rsidP="00335766">
      <w:pPr>
        <w:pStyle w:val="Default"/>
      </w:pPr>
    </w:p>
    <w:p w14:paraId="22070147" w14:textId="77777777" w:rsidR="00335766" w:rsidRPr="00F5154B" w:rsidRDefault="00335766" w:rsidP="00335766">
      <w:pPr>
        <w:pStyle w:val="Default"/>
        <w:jc w:val="both"/>
        <w:rPr>
          <w:b/>
          <w:bCs/>
          <w:i/>
          <w:iCs/>
        </w:rPr>
      </w:pPr>
      <w:r w:rsidRPr="00F5154B">
        <w:rPr>
          <w:b/>
          <w:bCs/>
          <w:i/>
          <w:iCs/>
        </w:rPr>
        <w:t xml:space="preserve">2. C-290/05 </w:t>
      </w:r>
      <w:proofErr w:type="spellStart"/>
      <w:r w:rsidRPr="00F5154B">
        <w:rPr>
          <w:b/>
          <w:bCs/>
          <w:i/>
          <w:iCs/>
        </w:rPr>
        <w:t>Nádasdi</w:t>
      </w:r>
      <w:proofErr w:type="spellEnd"/>
      <w:r w:rsidRPr="00F5154B">
        <w:rPr>
          <w:b/>
          <w:bCs/>
          <w:i/>
          <w:iCs/>
        </w:rPr>
        <w:t xml:space="preserve"> &amp; C-333/05 Németh egyesített ügyek / Hajdú-Bihar Megyei Bíróság &amp; Bács-Kiskun Megyei Bíróság / 2005. július 19. &amp; 2005. szeptember 14. / Adózás</w:t>
      </w:r>
    </w:p>
    <w:p w14:paraId="01C8D11F" w14:textId="77777777" w:rsidR="00335766" w:rsidRPr="00F5154B" w:rsidRDefault="00335766" w:rsidP="00335766">
      <w:pPr>
        <w:pStyle w:val="Default"/>
      </w:pPr>
      <w:r w:rsidRPr="00F5154B">
        <w:t>[6] Magyarországon regisztrációs adót kell fizetni a belföldön forgalomba helyezendő személygépkocsik után. Az adó mértéke a károsanyag-kibocsátás, az üzemanyag típusa és a motor hengerűrtartalma alapján kerül meghatározásra, és nem függ attól, hogy új vagy használt személygépkocsiról van szó, valamint nem tükrözi a használt személygépkocsik értékének csökkenését.</w:t>
      </w:r>
    </w:p>
    <w:p w14:paraId="100B3AF3" w14:textId="77777777" w:rsidR="00335766" w:rsidRPr="00F5154B" w:rsidRDefault="00335766" w:rsidP="00335766">
      <w:pPr>
        <w:pStyle w:val="Default"/>
      </w:pPr>
      <w:r w:rsidRPr="00F5154B">
        <w:t xml:space="preserve">[7] Azt követően, hogy </w:t>
      </w:r>
      <w:proofErr w:type="spellStart"/>
      <w:r w:rsidRPr="00F5154B">
        <w:t>Nádasdi</w:t>
      </w:r>
      <w:proofErr w:type="spellEnd"/>
      <w:r w:rsidRPr="00F5154B">
        <w:t xml:space="preserve"> Á. (C-290/05. sz. ügy) használt személygépkocsit vásárolt Németországban, megfizette a személygépkocsinak Magyarországra történő behozatala után a magyarországi regisztrációs adót, amelynek összegét utólag felemelték. </w:t>
      </w:r>
      <w:proofErr w:type="spellStart"/>
      <w:r w:rsidRPr="00F5154B">
        <w:t>Nádasdi</w:t>
      </w:r>
      <w:proofErr w:type="spellEnd"/>
      <w:r w:rsidRPr="00F5154B">
        <w:t xml:space="preserve"> Á. keresetet nyújtott be a magyar vámhatóság ezen, a regisztrációs adó összegét módosító határozata ellen, amelyben kérte az adó összege felemelésének bírósági felülvizsgálatát.</w:t>
      </w:r>
    </w:p>
    <w:p w14:paraId="19E147F6" w14:textId="77777777" w:rsidR="00335766" w:rsidRPr="00F5154B" w:rsidRDefault="00335766" w:rsidP="00335766">
      <w:pPr>
        <w:pStyle w:val="Default"/>
      </w:pPr>
      <w:r w:rsidRPr="00F5154B">
        <w:t>[8] Németh I. (C-333/05. sz. ügy) szintén használt személygépkocsit vásárolt Németországban, amely tekintetében a magyar vámhatóság megállapította a fizetendő regisztrációs adót. Mivel Németh I. úgy vélte, hogy ezen adó sérti a közösségi jogot, keresetet nyújtott be a vámhatóság e határozata ellen a Bács-Kiskun Megyei Bíróság előtt.</w:t>
      </w:r>
    </w:p>
    <w:p w14:paraId="72925E03" w14:textId="77777777" w:rsidR="00335766" w:rsidRPr="00F5154B" w:rsidRDefault="00335766" w:rsidP="00335766">
      <w:pPr>
        <w:pStyle w:val="Default"/>
      </w:pPr>
      <w:r w:rsidRPr="00F5154B">
        <w:t>[9] A két magyar bíróság az előzetes döntéshozatalra előterjesztett kérdéseiben azt kívánta megtudni a Bíróságtól, hogy összeegyeztethető-e a magyar regisztrációs adó a közösségi joggal.</w:t>
      </w:r>
    </w:p>
    <w:p w14:paraId="349FAFC8" w14:textId="1F0B61BD" w:rsidR="00365927" w:rsidRDefault="00335766" w:rsidP="00357C6D">
      <w:pPr>
        <w:pStyle w:val="Default"/>
      </w:pPr>
      <w:r w:rsidRPr="00F5154B">
        <w:t>[10] 2006. október 5-én meghozott ítéletében az Európai Bíróság megállapította, hogy a regisztrációs adó ellentétes a közösségi joggal, amennyiben az magasabb összegben terheli a behozott használt személygépkocsikat, mint a Magyarországon már nyilvántartásba vett hasonló használt személygépkocsikat.</w:t>
      </w:r>
    </w:p>
    <w:p w14:paraId="12B1612F" w14:textId="39EA1387" w:rsidR="00357C6D" w:rsidRDefault="00357C6D" w:rsidP="00357C6D">
      <w:pPr>
        <w:pStyle w:val="Default"/>
      </w:pPr>
    </w:p>
    <w:p w14:paraId="63FBF882" w14:textId="165FCF79" w:rsidR="00357C6D" w:rsidRPr="00357C6D" w:rsidRDefault="00357C6D" w:rsidP="4B428B2C">
      <w:pPr>
        <w:pStyle w:val="Default"/>
        <w:rPr>
          <w:i/>
          <w:iCs/>
        </w:rPr>
      </w:pPr>
      <w:r w:rsidRPr="4B428B2C">
        <w:rPr>
          <w:i/>
          <w:iCs/>
        </w:rPr>
        <w:t>(Megjelent: EU Jog, 2021/1–2. sz.)</w:t>
      </w:r>
    </w:p>
    <w:sectPr w:rsidR="00357C6D" w:rsidRPr="00357C6D" w:rsidSect="00B92E7E">
      <w:footnotePr>
        <w:numRestart w:val="eachSect"/>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4DC9" w14:textId="77777777" w:rsidR="0060380B" w:rsidRDefault="0060380B" w:rsidP="00335766">
      <w:pPr>
        <w:spacing w:after="0" w:line="240" w:lineRule="auto"/>
      </w:pPr>
      <w:r>
        <w:separator/>
      </w:r>
    </w:p>
  </w:endnote>
  <w:endnote w:type="continuationSeparator" w:id="0">
    <w:p w14:paraId="2E76CCB6" w14:textId="77777777" w:rsidR="0060380B" w:rsidRDefault="0060380B" w:rsidP="0033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E06E" w14:textId="77777777" w:rsidR="0060380B" w:rsidRDefault="0060380B" w:rsidP="00335766">
      <w:pPr>
        <w:spacing w:after="0" w:line="240" w:lineRule="auto"/>
      </w:pPr>
      <w:r>
        <w:separator/>
      </w:r>
    </w:p>
  </w:footnote>
  <w:footnote w:type="continuationSeparator" w:id="0">
    <w:p w14:paraId="133922BE" w14:textId="77777777" w:rsidR="0060380B" w:rsidRDefault="0060380B" w:rsidP="00335766">
      <w:pPr>
        <w:spacing w:after="0" w:line="240" w:lineRule="auto"/>
      </w:pPr>
      <w:r>
        <w:continuationSeparator/>
      </w:r>
    </w:p>
  </w:footnote>
  <w:footnote w:id="1">
    <w:p w14:paraId="5162532D"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Egyetemi adjunktus, NKE-ÁNTK Európai Köz- és Magánjogi Tanszék</w:t>
      </w:r>
    </w:p>
  </w:footnote>
  <w:footnote w:id="2">
    <w:p w14:paraId="160463C1"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r w:rsidRPr="00441883">
        <w:rPr>
          <w:rFonts w:ascii="Times New Roman" w:hAnsi="Times New Roman" w:cs="Times New Roman"/>
        </w:rPr>
        <w:t>Európai Unió Bírósága – Bíróság:</w:t>
      </w:r>
      <w:r w:rsidRPr="00CC4743">
        <w:rPr>
          <w:rFonts w:ascii="Times New Roman" w:hAnsi="Times New Roman" w:cs="Times New Roman"/>
        </w:rPr>
        <w:t xml:space="preserve"> 2/2013. tanácsadó vélemény értelmében: „Amint ugyanis a Bíróság többször is megállapította, az Unió alapító szerződései a szokásos nemzetközi szerződésektől eltérően egy új, saját intézményekkel rendelkező jogrendet hoztak létre, melynek javára az államok egyre több területen korlátozták szuverén jogaikat, és amelynek nemcsak ezen tagállamok, hanem azok állampolgárai is az alanyai</w:t>
      </w:r>
      <w:r>
        <w:rPr>
          <w:rFonts w:ascii="Times New Roman" w:hAnsi="Times New Roman" w:cs="Times New Roman"/>
        </w:rPr>
        <w:t xml:space="preserve"> </w:t>
      </w:r>
      <w:r w:rsidRPr="00CC4743">
        <w:rPr>
          <w:rFonts w:ascii="Times New Roman" w:hAnsi="Times New Roman" w:cs="Times New Roman"/>
        </w:rPr>
        <w:t>(</w:t>
      </w:r>
      <w:r>
        <w:rPr>
          <w:rFonts w:ascii="Times New Roman" w:hAnsi="Times New Roman" w:cs="Times New Roman"/>
        </w:rPr>
        <w:t>l</w:t>
      </w:r>
      <w:r w:rsidRPr="00CC4743">
        <w:rPr>
          <w:rFonts w:ascii="Times New Roman" w:hAnsi="Times New Roman" w:cs="Times New Roman"/>
        </w:rPr>
        <w:t xml:space="preserve">ásd különösen: Van </w:t>
      </w:r>
      <w:proofErr w:type="spellStart"/>
      <w:r w:rsidRPr="00CC4743">
        <w:rPr>
          <w:rFonts w:ascii="Times New Roman" w:hAnsi="Times New Roman" w:cs="Times New Roman"/>
        </w:rPr>
        <w:t>Gend</w:t>
      </w:r>
      <w:proofErr w:type="spellEnd"/>
      <w:r w:rsidRPr="00CC4743">
        <w:rPr>
          <w:rFonts w:ascii="Times New Roman" w:hAnsi="Times New Roman" w:cs="Times New Roman"/>
        </w:rPr>
        <w:t> &amp; Loos ítélet, 26/62, EU:C:1963:1, 23. o.; Costa ítélet, 6/64, EU:C:1964:66, 1158. o.; 1/09 vélemény, EU:C:2011:123, 65. pont).” ECLI:EU:C:2014:2454</w:t>
      </w:r>
      <w:r>
        <w:rPr>
          <w:rFonts w:ascii="Times New Roman" w:hAnsi="Times New Roman" w:cs="Times New Roman"/>
        </w:rPr>
        <w:t>,</w:t>
      </w:r>
      <w:r w:rsidRPr="00CC4743">
        <w:rPr>
          <w:rFonts w:ascii="Times New Roman" w:hAnsi="Times New Roman" w:cs="Times New Roman"/>
        </w:rPr>
        <w:t xml:space="preserve"> 157. pont.</w:t>
      </w:r>
    </w:p>
  </w:footnote>
  <w:footnote w:id="3">
    <w:p w14:paraId="4173A5E0"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r w:rsidRPr="00441883">
        <w:rPr>
          <w:rFonts w:ascii="Times New Roman" w:hAnsi="Times New Roman" w:cs="Times New Roman"/>
        </w:rPr>
        <w:t xml:space="preserve">Európai Unió Bírósága – Bíróság: </w:t>
      </w:r>
      <w:r w:rsidRPr="00CC4743">
        <w:rPr>
          <w:rFonts w:ascii="Times New Roman" w:hAnsi="Times New Roman" w:cs="Times New Roman"/>
        </w:rPr>
        <w:t>C-120/78</w:t>
      </w:r>
      <w:r>
        <w:rPr>
          <w:rFonts w:ascii="Times New Roman" w:hAnsi="Times New Roman" w:cs="Times New Roman"/>
        </w:rPr>
        <w:t xml:space="preserve">. </w:t>
      </w:r>
      <w:proofErr w:type="spellStart"/>
      <w:r w:rsidRPr="00B346FA">
        <w:rPr>
          <w:rFonts w:ascii="Times New Roman" w:hAnsi="Times New Roman" w:cs="Times New Roman"/>
        </w:rPr>
        <w:t>Rewe-Zentral</w:t>
      </w:r>
      <w:proofErr w:type="spellEnd"/>
      <w:r w:rsidRPr="00B346FA">
        <w:rPr>
          <w:rFonts w:ascii="Times New Roman" w:hAnsi="Times New Roman" w:cs="Times New Roman"/>
        </w:rPr>
        <w:t xml:space="preserve"> AG kontra </w:t>
      </w:r>
      <w:proofErr w:type="spellStart"/>
      <w:r w:rsidRPr="00B346FA">
        <w:rPr>
          <w:rFonts w:ascii="Times New Roman" w:hAnsi="Times New Roman" w:cs="Times New Roman"/>
        </w:rPr>
        <w:t>Bundesmonopolverwaltung</w:t>
      </w:r>
      <w:proofErr w:type="spellEnd"/>
      <w:r w:rsidRPr="00B346FA">
        <w:rPr>
          <w:rFonts w:ascii="Times New Roman" w:hAnsi="Times New Roman" w:cs="Times New Roman"/>
        </w:rPr>
        <w:t xml:space="preserve"> </w:t>
      </w:r>
      <w:proofErr w:type="spellStart"/>
      <w:r w:rsidRPr="00B346FA">
        <w:rPr>
          <w:rFonts w:ascii="Times New Roman" w:hAnsi="Times New Roman" w:cs="Times New Roman"/>
        </w:rPr>
        <w:t>für</w:t>
      </w:r>
      <w:proofErr w:type="spellEnd"/>
      <w:r w:rsidRPr="00B346FA">
        <w:rPr>
          <w:rFonts w:ascii="Times New Roman" w:hAnsi="Times New Roman" w:cs="Times New Roman"/>
        </w:rPr>
        <w:t xml:space="preserve"> </w:t>
      </w:r>
      <w:proofErr w:type="spellStart"/>
      <w:r w:rsidRPr="00B346FA">
        <w:rPr>
          <w:rFonts w:ascii="Times New Roman" w:hAnsi="Times New Roman" w:cs="Times New Roman"/>
        </w:rPr>
        <w:t>Branntwein</w:t>
      </w:r>
      <w:proofErr w:type="spellEnd"/>
      <w:r>
        <w:rPr>
          <w:rFonts w:ascii="Times New Roman" w:hAnsi="Times New Roman" w:cs="Times New Roman"/>
        </w:rPr>
        <w:t xml:space="preserve"> ügyben </w:t>
      </w:r>
      <w:r w:rsidRPr="00B346FA">
        <w:rPr>
          <w:rFonts w:ascii="Times New Roman" w:hAnsi="Times New Roman" w:cs="Times New Roman"/>
        </w:rPr>
        <w:t>1979. február 20-</w:t>
      </w:r>
      <w:r>
        <w:rPr>
          <w:rFonts w:ascii="Times New Roman" w:hAnsi="Times New Roman" w:cs="Times New Roman"/>
        </w:rPr>
        <w:t>án hozott ítélet,</w:t>
      </w:r>
      <w:r w:rsidRPr="00CC4743">
        <w:rPr>
          <w:rFonts w:ascii="Times New Roman" w:hAnsi="Times New Roman" w:cs="Times New Roman"/>
        </w:rPr>
        <w:t xml:space="preserve"> ECLI:EU:C:1979:42.</w:t>
      </w:r>
    </w:p>
  </w:footnote>
  <w:footnote w:id="4">
    <w:p w14:paraId="0CAF5626"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proofErr w:type="spellStart"/>
      <w:r w:rsidRPr="00CC4743">
        <w:rPr>
          <w:rFonts w:ascii="Times New Roman" w:hAnsi="Times New Roman" w:cs="Times New Roman"/>
        </w:rPr>
        <w:t>Koen</w:t>
      </w:r>
      <w:proofErr w:type="spellEnd"/>
      <w:r w:rsidRPr="00CC4743">
        <w:rPr>
          <w:rFonts w:ascii="Times New Roman" w:hAnsi="Times New Roman" w:cs="Times New Roman"/>
        </w:rPr>
        <w:t xml:space="preserve"> </w:t>
      </w:r>
      <w:proofErr w:type="spellStart"/>
      <w:r w:rsidRPr="00CC4743">
        <w:rPr>
          <w:rFonts w:ascii="Times New Roman" w:hAnsi="Times New Roman" w:cs="Times New Roman"/>
        </w:rPr>
        <w:t>Lenaerts</w:t>
      </w:r>
      <w:proofErr w:type="spellEnd"/>
      <w:r w:rsidRPr="00CC4743">
        <w:rPr>
          <w:rFonts w:ascii="Times New Roman" w:hAnsi="Times New Roman" w:cs="Times New Roman"/>
        </w:rPr>
        <w:t xml:space="preserve">: </w:t>
      </w:r>
      <w:r w:rsidRPr="00CC4743">
        <w:rPr>
          <w:rFonts w:ascii="Times New Roman" w:hAnsi="Times New Roman" w:cs="Times New Roman"/>
          <w:bCs/>
        </w:rPr>
        <w:t xml:space="preserve">La vie </w:t>
      </w:r>
      <w:proofErr w:type="spellStart"/>
      <w:r w:rsidRPr="00CC4743">
        <w:rPr>
          <w:rFonts w:ascii="Times New Roman" w:hAnsi="Times New Roman" w:cs="Times New Roman"/>
          <w:bCs/>
        </w:rPr>
        <w:t>après</w:t>
      </w:r>
      <w:proofErr w:type="spellEnd"/>
      <w:r w:rsidRPr="00CC4743">
        <w:rPr>
          <w:rFonts w:ascii="Times New Roman" w:hAnsi="Times New Roman" w:cs="Times New Roman"/>
          <w:bCs/>
        </w:rPr>
        <w:t xml:space="preserve"> </w:t>
      </w:r>
      <w:proofErr w:type="spellStart"/>
      <w:r w:rsidRPr="00CC4743">
        <w:rPr>
          <w:rFonts w:ascii="Times New Roman" w:hAnsi="Times New Roman" w:cs="Times New Roman"/>
          <w:bCs/>
        </w:rPr>
        <w:t>l’avis</w:t>
      </w:r>
      <w:proofErr w:type="spellEnd"/>
      <w:r w:rsidRPr="00CC4743">
        <w:rPr>
          <w:rFonts w:ascii="Times New Roman" w:hAnsi="Times New Roman" w:cs="Times New Roman"/>
          <w:bCs/>
        </w:rPr>
        <w:t xml:space="preserve">: </w:t>
      </w:r>
      <w:proofErr w:type="spellStart"/>
      <w:r w:rsidRPr="00CC4743">
        <w:rPr>
          <w:rFonts w:ascii="Times New Roman" w:hAnsi="Times New Roman" w:cs="Times New Roman"/>
          <w:bCs/>
        </w:rPr>
        <w:t>Exploring</w:t>
      </w:r>
      <w:proofErr w:type="spellEnd"/>
      <w:r w:rsidRPr="00CC4743">
        <w:rPr>
          <w:rFonts w:ascii="Times New Roman" w:hAnsi="Times New Roman" w:cs="Times New Roman"/>
          <w:bCs/>
        </w:rPr>
        <w:t xml:space="preserve"> </w:t>
      </w:r>
      <w:proofErr w:type="spellStart"/>
      <w:r w:rsidRPr="00CC4743">
        <w:rPr>
          <w:rFonts w:ascii="Times New Roman" w:hAnsi="Times New Roman" w:cs="Times New Roman"/>
          <w:bCs/>
        </w:rPr>
        <w:t>the</w:t>
      </w:r>
      <w:proofErr w:type="spellEnd"/>
      <w:r w:rsidRPr="00CC4743">
        <w:rPr>
          <w:rFonts w:ascii="Times New Roman" w:hAnsi="Times New Roman" w:cs="Times New Roman"/>
          <w:bCs/>
        </w:rPr>
        <w:t xml:space="preserve"> </w:t>
      </w:r>
      <w:proofErr w:type="spellStart"/>
      <w:r w:rsidRPr="00CC4743">
        <w:rPr>
          <w:rFonts w:ascii="Times New Roman" w:hAnsi="Times New Roman" w:cs="Times New Roman"/>
          <w:bCs/>
        </w:rPr>
        <w:t>Principle</w:t>
      </w:r>
      <w:proofErr w:type="spellEnd"/>
      <w:r w:rsidRPr="00CC4743">
        <w:rPr>
          <w:rFonts w:ascii="Times New Roman" w:hAnsi="Times New Roman" w:cs="Times New Roman"/>
          <w:bCs/>
        </w:rPr>
        <w:t xml:space="preserve"> of </w:t>
      </w:r>
      <w:proofErr w:type="spellStart"/>
      <w:r w:rsidRPr="00CC4743">
        <w:rPr>
          <w:rFonts w:ascii="Times New Roman" w:hAnsi="Times New Roman" w:cs="Times New Roman"/>
          <w:bCs/>
        </w:rPr>
        <w:t>Mutual</w:t>
      </w:r>
      <w:proofErr w:type="spellEnd"/>
      <w:r w:rsidRPr="00CC4743">
        <w:rPr>
          <w:rFonts w:ascii="Times New Roman" w:hAnsi="Times New Roman" w:cs="Times New Roman"/>
          <w:bCs/>
        </w:rPr>
        <w:t xml:space="preserve"> (</w:t>
      </w:r>
      <w:proofErr w:type="spellStart"/>
      <w:r w:rsidRPr="00CC4743">
        <w:rPr>
          <w:rFonts w:ascii="Times New Roman" w:hAnsi="Times New Roman" w:cs="Times New Roman"/>
          <w:bCs/>
        </w:rPr>
        <w:t>Yet</w:t>
      </w:r>
      <w:proofErr w:type="spellEnd"/>
      <w:r w:rsidRPr="00CC4743">
        <w:rPr>
          <w:rFonts w:ascii="Times New Roman" w:hAnsi="Times New Roman" w:cs="Times New Roman"/>
          <w:bCs/>
        </w:rPr>
        <w:t xml:space="preserve"> </w:t>
      </w:r>
      <w:proofErr w:type="spellStart"/>
      <w:r w:rsidRPr="00CC4743">
        <w:rPr>
          <w:rFonts w:ascii="Times New Roman" w:hAnsi="Times New Roman" w:cs="Times New Roman"/>
          <w:bCs/>
        </w:rPr>
        <w:t>not</w:t>
      </w:r>
      <w:proofErr w:type="spellEnd"/>
      <w:r w:rsidRPr="00CC4743">
        <w:rPr>
          <w:rFonts w:ascii="Times New Roman" w:hAnsi="Times New Roman" w:cs="Times New Roman"/>
          <w:bCs/>
        </w:rPr>
        <w:t xml:space="preserve"> </w:t>
      </w:r>
      <w:proofErr w:type="spellStart"/>
      <w:r w:rsidRPr="00CC4743">
        <w:rPr>
          <w:rFonts w:ascii="Times New Roman" w:hAnsi="Times New Roman" w:cs="Times New Roman"/>
          <w:bCs/>
        </w:rPr>
        <w:t>Blind</w:t>
      </w:r>
      <w:proofErr w:type="spellEnd"/>
      <w:r w:rsidRPr="00CC4743">
        <w:rPr>
          <w:rFonts w:ascii="Times New Roman" w:hAnsi="Times New Roman" w:cs="Times New Roman"/>
          <w:bCs/>
        </w:rPr>
        <w:t xml:space="preserve">) </w:t>
      </w:r>
      <w:proofErr w:type="spellStart"/>
      <w:r w:rsidRPr="00CC4743">
        <w:rPr>
          <w:rFonts w:ascii="Times New Roman" w:hAnsi="Times New Roman" w:cs="Times New Roman"/>
          <w:bCs/>
        </w:rPr>
        <w:t>Trust</w:t>
      </w:r>
      <w:proofErr w:type="spellEnd"/>
      <w:r w:rsidRPr="00CC4743">
        <w:rPr>
          <w:rFonts w:ascii="Times New Roman" w:hAnsi="Times New Roman" w:cs="Times New Roman"/>
          <w:bCs/>
        </w:rPr>
        <w:t xml:space="preserve">. </w:t>
      </w:r>
      <w:proofErr w:type="spellStart"/>
      <w:r w:rsidRPr="00CC4743">
        <w:rPr>
          <w:rFonts w:ascii="Times New Roman" w:hAnsi="Times New Roman" w:cs="Times New Roman"/>
          <w:iCs/>
        </w:rPr>
        <w:t>Common</w:t>
      </w:r>
      <w:proofErr w:type="spellEnd"/>
      <w:r w:rsidRPr="00CC4743">
        <w:rPr>
          <w:rFonts w:ascii="Times New Roman" w:hAnsi="Times New Roman" w:cs="Times New Roman"/>
          <w:iCs/>
        </w:rPr>
        <w:t xml:space="preserve"> Market Law </w:t>
      </w:r>
      <w:proofErr w:type="spellStart"/>
      <w:r w:rsidRPr="00CC4743">
        <w:rPr>
          <w:rFonts w:ascii="Times New Roman" w:hAnsi="Times New Roman" w:cs="Times New Roman"/>
          <w:iCs/>
        </w:rPr>
        <w:t>Review</w:t>
      </w:r>
      <w:proofErr w:type="spellEnd"/>
      <w:r>
        <w:rPr>
          <w:rFonts w:ascii="Times New Roman" w:hAnsi="Times New Roman" w:cs="Times New Roman"/>
          <w:bCs/>
        </w:rPr>
        <w:t>, 2017/</w:t>
      </w:r>
      <w:r w:rsidRPr="00CC4743">
        <w:rPr>
          <w:rFonts w:ascii="Times New Roman" w:hAnsi="Times New Roman" w:cs="Times New Roman"/>
        </w:rPr>
        <w:t>3. sz.</w:t>
      </w:r>
      <w:r>
        <w:rPr>
          <w:rFonts w:ascii="Times New Roman" w:hAnsi="Times New Roman" w:cs="Times New Roman"/>
        </w:rPr>
        <w:t>,</w:t>
      </w:r>
      <w:r w:rsidRPr="00CC4743">
        <w:rPr>
          <w:rFonts w:ascii="Times New Roman" w:hAnsi="Times New Roman" w:cs="Times New Roman"/>
        </w:rPr>
        <w:t xml:space="preserve"> 805.</w:t>
      </w:r>
      <w:r>
        <w:rPr>
          <w:rFonts w:ascii="Times New Roman" w:hAnsi="Times New Roman" w:cs="Times New Roman"/>
        </w:rPr>
        <w:t xml:space="preserve"> o.</w:t>
      </w:r>
    </w:p>
  </w:footnote>
  <w:footnote w:id="5">
    <w:p w14:paraId="3D88A621"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Uitz Renáta: </w:t>
      </w:r>
      <w:r w:rsidRPr="00E82E84">
        <w:rPr>
          <w:rFonts w:ascii="Times New Roman" w:hAnsi="Times New Roman" w:cs="Times New Roman"/>
        </w:rPr>
        <w:t xml:space="preserve">The European </w:t>
      </w:r>
      <w:proofErr w:type="spellStart"/>
      <w:r w:rsidRPr="00E82E84">
        <w:rPr>
          <w:rFonts w:ascii="Times New Roman" w:hAnsi="Times New Roman" w:cs="Times New Roman"/>
        </w:rPr>
        <w:t>Arrest</w:t>
      </w:r>
      <w:proofErr w:type="spellEnd"/>
      <w:r w:rsidRPr="00E82E84">
        <w:rPr>
          <w:rFonts w:ascii="Times New Roman" w:hAnsi="Times New Roman" w:cs="Times New Roman"/>
        </w:rPr>
        <w:t xml:space="preserve"> </w:t>
      </w:r>
      <w:proofErr w:type="spellStart"/>
      <w:r w:rsidRPr="00E82E84">
        <w:rPr>
          <w:rFonts w:ascii="Times New Roman" w:hAnsi="Times New Roman" w:cs="Times New Roman"/>
        </w:rPr>
        <w:t>Warrant</w:t>
      </w:r>
      <w:proofErr w:type="spellEnd"/>
      <w:r w:rsidRPr="00E82E84">
        <w:rPr>
          <w:rFonts w:ascii="Times New Roman" w:hAnsi="Times New Roman" w:cs="Times New Roman"/>
        </w:rPr>
        <w:t xml:space="preserve"> </w:t>
      </w:r>
      <w:proofErr w:type="spellStart"/>
      <w:r w:rsidRPr="00E82E84">
        <w:rPr>
          <w:rFonts w:ascii="Times New Roman" w:hAnsi="Times New Roman" w:cs="Times New Roman"/>
        </w:rPr>
        <w:t>as</w:t>
      </w:r>
      <w:proofErr w:type="spellEnd"/>
      <w:r w:rsidRPr="00E82E84">
        <w:rPr>
          <w:rFonts w:ascii="Times New Roman" w:hAnsi="Times New Roman" w:cs="Times New Roman"/>
        </w:rPr>
        <w:t xml:space="preserve"> a </w:t>
      </w:r>
      <w:proofErr w:type="spellStart"/>
      <w:r w:rsidRPr="00E82E84">
        <w:rPr>
          <w:rFonts w:ascii="Times New Roman" w:hAnsi="Times New Roman" w:cs="Times New Roman"/>
        </w:rPr>
        <w:t>Constitutional</w:t>
      </w:r>
      <w:proofErr w:type="spellEnd"/>
      <w:r w:rsidRPr="00E82E84">
        <w:rPr>
          <w:rFonts w:ascii="Times New Roman" w:hAnsi="Times New Roman" w:cs="Times New Roman"/>
        </w:rPr>
        <w:t xml:space="preserve"> </w:t>
      </w:r>
      <w:proofErr w:type="spellStart"/>
      <w:r w:rsidRPr="00E82E84">
        <w:rPr>
          <w:rFonts w:ascii="Times New Roman" w:hAnsi="Times New Roman" w:cs="Times New Roman"/>
        </w:rPr>
        <w:t>Instrument</w:t>
      </w:r>
      <w:proofErr w:type="spellEnd"/>
      <w:r w:rsidRPr="00E82E84">
        <w:rPr>
          <w:rFonts w:ascii="Times New Roman" w:hAnsi="Times New Roman" w:cs="Times New Roman"/>
        </w:rPr>
        <w:t>?</w:t>
      </w:r>
      <w:r>
        <w:rPr>
          <w:rFonts w:ascii="Times New Roman" w:hAnsi="Times New Roman" w:cs="Times New Roman"/>
        </w:rPr>
        <w:t xml:space="preserve"> </w:t>
      </w:r>
      <w:r w:rsidRPr="00726F4F">
        <w:rPr>
          <w:rFonts w:ascii="Times New Roman" w:hAnsi="Times New Roman" w:cs="Times New Roman"/>
        </w:rPr>
        <w:t>[online].</w:t>
      </w:r>
      <w:r w:rsidRPr="00E82E84">
        <w:rPr>
          <w:rFonts w:ascii="Times New Roman" w:hAnsi="Times New Roman" w:cs="Times New Roman"/>
        </w:rPr>
        <w:t xml:space="preserve"> </w:t>
      </w:r>
      <w:r>
        <w:rPr>
          <w:rFonts w:ascii="Times New Roman" w:hAnsi="Times New Roman" w:cs="Times New Roman"/>
        </w:rPr>
        <w:t xml:space="preserve">In: </w:t>
      </w:r>
      <w:proofErr w:type="spellStart"/>
      <w:r w:rsidRPr="00E82E84">
        <w:rPr>
          <w:rFonts w:ascii="Times New Roman" w:hAnsi="Times New Roman" w:cs="Times New Roman"/>
        </w:rPr>
        <w:t>Int’l</w:t>
      </w:r>
      <w:proofErr w:type="spellEnd"/>
      <w:r w:rsidRPr="00E82E84">
        <w:rPr>
          <w:rFonts w:ascii="Times New Roman" w:hAnsi="Times New Roman" w:cs="Times New Roman"/>
        </w:rPr>
        <w:t xml:space="preserve"> J. Const. L. Blog</w:t>
      </w:r>
      <w:r>
        <w:rPr>
          <w:rFonts w:ascii="Times New Roman" w:hAnsi="Times New Roman" w:cs="Times New Roman"/>
        </w:rPr>
        <w:t>.</w:t>
      </w:r>
      <w:r w:rsidRPr="00E82E84">
        <w:rPr>
          <w:rFonts w:ascii="Times New Roman" w:hAnsi="Times New Roman" w:cs="Times New Roman"/>
        </w:rPr>
        <w:t xml:space="preserve"> 2018</w:t>
      </w:r>
      <w:r>
        <w:rPr>
          <w:rFonts w:ascii="Times New Roman" w:hAnsi="Times New Roman" w:cs="Times New Roman"/>
        </w:rPr>
        <w:t>.</w:t>
      </w:r>
      <w:r w:rsidRPr="00726F4F">
        <w:rPr>
          <w:rFonts w:ascii="Times New Roman" w:hAnsi="Times New Roman" w:cs="Times New Roman"/>
        </w:rPr>
        <w:t>04.25.</w:t>
      </w:r>
      <w:r>
        <w:rPr>
          <w:rFonts w:ascii="Times New Roman" w:hAnsi="Times New Roman" w:cs="Times New Roman"/>
        </w:rPr>
        <w:t xml:space="preserve"> </w:t>
      </w:r>
      <w:r w:rsidRPr="00E82E84">
        <w:rPr>
          <w:rFonts w:ascii="Times New Roman" w:hAnsi="Times New Roman" w:cs="Times New Roman"/>
        </w:rPr>
        <w:t>http://www.iconnectblog.com/2018/04/the-european-arrest-warrant-as-a-constitutional-instrument-i-connect-column/</w:t>
      </w:r>
    </w:p>
  </w:footnote>
  <w:footnote w:id="6">
    <w:p w14:paraId="3E5A0DEA"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EUSZ 49. cikk.</w:t>
      </w:r>
    </w:p>
  </w:footnote>
  <w:footnote w:id="7">
    <w:p w14:paraId="1FD4A041"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proofErr w:type="spellStart"/>
      <w:r w:rsidRPr="00CC4743">
        <w:rPr>
          <w:rFonts w:ascii="Times New Roman" w:hAnsi="Times New Roman" w:cs="Times New Roman"/>
        </w:rPr>
        <w:t>Koen</w:t>
      </w:r>
      <w:proofErr w:type="spellEnd"/>
      <w:r w:rsidRPr="00CC4743">
        <w:rPr>
          <w:rFonts w:ascii="Times New Roman" w:hAnsi="Times New Roman" w:cs="Times New Roman"/>
        </w:rPr>
        <w:t xml:space="preserve"> </w:t>
      </w:r>
      <w:proofErr w:type="spellStart"/>
      <w:r w:rsidRPr="00CC4743">
        <w:rPr>
          <w:rFonts w:ascii="Times New Roman" w:hAnsi="Times New Roman" w:cs="Times New Roman"/>
        </w:rPr>
        <w:t>Lenaerts</w:t>
      </w:r>
      <w:proofErr w:type="spellEnd"/>
      <w:r>
        <w:rPr>
          <w:rFonts w:ascii="Times New Roman" w:hAnsi="Times New Roman" w:cs="Times New Roman"/>
        </w:rPr>
        <w:t xml:space="preserve">: </w:t>
      </w:r>
      <w:r w:rsidRPr="00CC4743">
        <w:rPr>
          <w:rFonts w:ascii="Times New Roman" w:hAnsi="Times New Roman" w:cs="Times New Roman"/>
        </w:rPr>
        <w:t xml:space="preserve">New </w:t>
      </w:r>
      <w:proofErr w:type="spellStart"/>
      <w:r w:rsidRPr="00CC4743">
        <w:rPr>
          <w:rFonts w:ascii="Times New Roman" w:hAnsi="Times New Roman" w:cs="Times New Roman"/>
        </w:rPr>
        <w:t>Horizons</w:t>
      </w:r>
      <w:proofErr w:type="spellEnd"/>
      <w:r w:rsidRPr="00CC4743">
        <w:rPr>
          <w:rFonts w:ascii="Times New Roman" w:hAnsi="Times New Roman" w:cs="Times New Roman"/>
        </w:rPr>
        <w:t xml:space="preserve"> </w:t>
      </w:r>
      <w:proofErr w:type="spellStart"/>
      <w:r w:rsidRPr="00CC4743">
        <w:rPr>
          <w:rFonts w:ascii="Times New Roman" w:hAnsi="Times New Roman" w:cs="Times New Roman"/>
        </w:rPr>
        <w:t>for</w:t>
      </w:r>
      <w:proofErr w:type="spellEnd"/>
      <w:r w:rsidRPr="00CC4743">
        <w:rPr>
          <w:rFonts w:ascii="Times New Roman" w:hAnsi="Times New Roman" w:cs="Times New Roman"/>
        </w:rPr>
        <w:t xml:space="preserve"> </w:t>
      </w:r>
      <w:proofErr w:type="spellStart"/>
      <w:r w:rsidRPr="00CC4743">
        <w:rPr>
          <w:rFonts w:ascii="Times New Roman" w:hAnsi="Times New Roman" w:cs="Times New Roman"/>
        </w:rPr>
        <w:t>the</w:t>
      </w:r>
      <w:proofErr w:type="spellEnd"/>
      <w:r w:rsidRPr="00CC4743">
        <w:rPr>
          <w:rFonts w:ascii="Times New Roman" w:hAnsi="Times New Roman" w:cs="Times New Roman"/>
        </w:rPr>
        <w:t xml:space="preserve"> </w:t>
      </w:r>
      <w:proofErr w:type="spellStart"/>
      <w:r w:rsidRPr="00CC4743">
        <w:rPr>
          <w:rFonts w:ascii="Times New Roman" w:hAnsi="Times New Roman" w:cs="Times New Roman"/>
        </w:rPr>
        <w:t>Rule</w:t>
      </w:r>
      <w:proofErr w:type="spellEnd"/>
      <w:r w:rsidRPr="00CC4743">
        <w:rPr>
          <w:rFonts w:ascii="Times New Roman" w:hAnsi="Times New Roman" w:cs="Times New Roman"/>
        </w:rPr>
        <w:t xml:space="preserve"> of Law </w:t>
      </w:r>
      <w:proofErr w:type="spellStart"/>
      <w:r w:rsidRPr="00CC4743">
        <w:rPr>
          <w:rFonts w:ascii="Times New Roman" w:hAnsi="Times New Roman" w:cs="Times New Roman"/>
        </w:rPr>
        <w:t>within</w:t>
      </w:r>
      <w:proofErr w:type="spellEnd"/>
      <w:r w:rsidRPr="00CC4743">
        <w:rPr>
          <w:rFonts w:ascii="Times New Roman" w:hAnsi="Times New Roman" w:cs="Times New Roman"/>
        </w:rPr>
        <w:t xml:space="preserve"> </w:t>
      </w:r>
      <w:proofErr w:type="spellStart"/>
      <w:r w:rsidRPr="00CC4743">
        <w:rPr>
          <w:rFonts w:ascii="Times New Roman" w:hAnsi="Times New Roman" w:cs="Times New Roman"/>
        </w:rPr>
        <w:t>the</w:t>
      </w:r>
      <w:proofErr w:type="spellEnd"/>
      <w:r w:rsidRPr="00CC4743">
        <w:rPr>
          <w:rFonts w:ascii="Times New Roman" w:hAnsi="Times New Roman" w:cs="Times New Roman"/>
        </w:rPr>
        <w:t xml:space="preserve"> EU. </w:t>
      </w:r>
      <w:proofErr w:type="spellStart"/>
      <w:r w:rsidRPr="00CC4743">
        <w:rPr>
          <w:rFonts w:ascii="Times New Roman" w:hAnsi="Times New Roman" w:cs="Times New Roman"/>
        </w:rPr>
        <w:t>German</w:t>
      </w:r>
      <w:proofErr w:type="spellEnd"/>
      <w:r w:rsidRPr="00CC4743">
        <w:rPr>
          <w:rFonts w:ascii="Times New Roman" w:hAnsi="Times New Roman" w:cs="Times New Roman"/>
        </w:rPr>
        <w:t xml:space="preserve"> Law Journal</w:t>
      </w:r>
      <w:r>
        <w:rPr>
          <w:rFonts w:ascii="Times New Roman" w:hAnsi="Times New Roman" w:cs="Times New Roman"/>
        </w:rPr>
        <w:t>,</w:t>
      </w:r>
      <w:r w:rsidRPr="00CC4743">
        <w:rPr>
          <w:rFonts w:ascii="Times New Roman" w:hAnsi="Times New Roman" w:cs="Times New Roman"/>
        </w:rPr>
        <w:t xml:space="preserve"> </w:t>
      </w:r>
      <w:r>
        <w:rPr>
          <w:rFonts w:ascii="Times New Roman" w:hAnsi="Times New Roman" w:cs="Times New Roman"/>
        </w:rPr>
        <w:t>2020/</w:t>
      </w:r>
      <w:r w:rsidRPr="00CC4743">
        <w:rPr>
          <w:rFonts w:ascii="Times New Roman" w:hAnsi="Times New Roman" w:cs="Times New Roman"/>
        </w:rPr>
        <w:t>1. sz.</w:t>
      </w:r>
      <w:r>
        <w:rPr>
          <w:rFonts w:ascii="Times New Roman" w:hAnsi="Times New Roman" w:cs="Times New Roman"/>
        </w:rPr>
        <w:t xml:space="preserve">, </w:t>
      </w:r>
      <w:r w:rsidRPr="00CC4743">
        <w:rPr>
          <w:rFonts w:ascii="Times New Roman" w:hAnsi="Times New Roman" w:cs="Times New Roman"/>
        </w:rPr>
        <w:t>31.</w:t>
      </w:r>
      <w:r>
        <w:rPr>
          <w:rFonts w:ascii="Times New Roman" w:hAnsi="Times New Roman" w:cs="Times New Roman"/>
        </w:rPr>
        <w:t xml:space="preserve"> o.</w:t>
      </w:r>
    </w:p>
  </w:footnote>
  <w:footnote w:id="8">
    <w:p w14:paraId="3B1493B6"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r w:rsidRPr="00441883">
        <w:rPr>
          <w:rFonts w:ascii="Times New Roman" w:hAnsi="Times New Roman" w:cs="Times New Roman"/>
        </w:rPr>
        <w:t xml:space="preserve">Európai Unió Bírósága – Bíróság: </w:t>
      </w:r>
      <w:r w:rsidRPr="00CC4743">
        <w:rPr>
          <w:rFonts w:ascii="Times New Roman" w:hAnsi="Times New Roman" w:cs="Times New Roman"/>
        </w:rPr>
        <w:t>C</w:t>
      </w:r>
      <w:r w:rsidRPr="00CC4743">
        <w:rPr>
          <w:rFonts w:ascii="Times New Roman" w:hAnsi="Times New Roman" w:cs="Times New Roman"/>
        </w:rPr>
        <w:noBreakHyphen/>
        <w:t>64/16. </w:t>
      </w:r>
      <w:proofErr w:type="spellStart"/>
      <w:r w:rsidRPr="00DA376D">
        <w:rPr>
          <w:rFonts w:ascii="Times New Roman" w:hAnsi="Times New Roman" w:cs="Times New Roman"/>
          <w:bCs/>
        </w:rPr>
        <w:t>Associação</w:t>
      </w:r>
      <w:proofErr w:type="spellEnd"/>
      <w:r w:rsidRPr="00DA376D">
        <w:rPr>
          <w:rFonts w:ascii="Times New Roman" w:hAnsi="Times New Roman" w:cs="Times New Roman"/>
          <w:bCs/>
        </w:rPr>
        <w:t xml:space="preserve"> </w:t>
      </w:r>
      <w:proofErr w:type="spellStart"/>
      <w:r w:rsidRPr="00DA376D">
        <w:rPr>
          <w:rFonts w:ascii="Times New Roman" w:hAnsi="Times New Roman" w:cs="Times New Roman"/>
          <w:bCs/>
        </w:rPr>
        <w:t>Sindical</w:t>
      </w:r>
      <w:proofErr w:type="spellEnd"/>
      <w:r w:rsidRPr="00DA376D">
        <w:rPr>
          <w:rFonts w:ascii="Times New Roman" w:hAnsi="Times New Roman" w:cs="Times New Roman"/>
          <w:bCs/>
        </w:rPr>
        <w:t xml:space="preserve"> </w:t>
      </w:r>
      <w:proofErr w:type="spellStart"/>
      <w:r w:rsidRPr="00DA376D">
        <w:rPr>
          <w:rFonts w:ascii="Times New Roman" w:hAnsi="Times New Roman" w:cs="Times New Roman"/>
          <w:bCs/>
        </w:rPr>
        <w:t>dos</w:t>
      </w:r>
      <w:proofErr w:type="spellEnd"/>
      <w:r w:rsidRPr="00DA376D">
        <w:rPr>
          <w:rFonts w:ascii="Times New Roman" w:hAnsi="Times New Roman" w:cs="Times New Roman"/>
          <w:bCs/>
        </w:rPr>
        <w:t xml:space="preserve"> </w:t>
      </w:r>
      <w:proofErr w:type="spellStart"/>
      <w:r w:rsidRPr="00DA376D">
        <w:rPr>
          <w:rFonts w:ascii="Times New Roman" w:hAnsi="Times New Roman" w:cs="Times New Roman"/>
          <w:bCs/>
        </w:rPr>
        <w:t>Juízes</w:t>
      </w:r>
      <w:proofErr w:type="spellEnd"/>
      <w:r w:rsidRPr="00DA376D">
        <w:rPr>
          <w:rFonts w:ascii="Times New Roman" w:hAnsi="Times New Roman" w:cs="Times New Roman"/>
          <w:bCs/>
        </w:rPr>
        <w:t xml:space="preserve"> </w:t>
      </w:r>
      <w:proofErr w:type="spellStart"/>
      <w:r w:rsidRPr="00DA376D">
        <w:rPr>
          <w:rFonts w:ascii="Times New Roman" w:hAnsi="Times New Roman" w:cs="Times New Roman"/>
          <w:bCs/>
        </w:rPr>
        <w:t>Portugueses</w:t>
      </w:r>
      <w:proofErr w:type="spellEnd"/>
      <w:r w:rsidRPr="00DA376D">
        <w:rPr>
          <w:rFonts w:ascii="Times New Roman" w:hAnsi="Times New Roman" w:cs="Times New Roman"/>
          <w:bCs/>
        </w:rPr>
        <w:t xml:space="preserve"> kontra </w:t>
      </w:r>
      <w:proofErr w:type="spellStart"/>
      <w:r w:rsidRPr="00DA376D">
        <w:rPr>
          <w:rFonts w:ascii="Times New Roman" w:hAnsi="Times New Roman" w:cs="Times New Roman"/>
          <w:bCs/>
        </w:rPr>
        <w:t>Tribunal</w:t>
      </w:r>
      <w:proofErr w:type="spellEnd"/>
      <w:r w:rsidRPr="00DA376D">
        <w:rPr>
          <w:rFonts w:ascii="Times New Roman" w:hAnsi="Times New Roman" w:cs="Times New Roman"/>
          <w:bCs/>
        </w:rPr>
        <w:t xml:space="preserve"> de </w:t>
      </w:r>
      <w:proofErr w:type="spellStart"/>
      <w:r w:rsidRPr="00DA376D">
        <w:rPr>
          <w:rFonts w:ascii="Times New Roman" w:hAnsi="Times New Roman" w:cs="Times New Roman"/>
          <w:bCs/>
        </w:rPr>
        <w:t>Contas</w:t>
      </w:r>
      <w:proofErr w:type="spellEnd"/>
      <w:r>
        <w:rPr>
          <w:rFonts w:ascii="Times New Roman" w:hAnsi="Times New Roman" w:cs="Times New Roman"/>
          <w:bCs/>
        </w:rPr>
        <w:t xml:space="preserve"> ügyben </w:t>
      </w:r>
      <w:r w:rsidRPr="00DA376D">
        <w:rPr>
          <w:rFonts w:ascii="Times New Roman" w:hAnsi="Times New Roman" w:cs="Times New Roman"/>
          <w:bCs/>
        </w:rPr>
        <w:t>2018. február 27</w:t>
      </w:r>
      <w:r>
        <w:rPr>
          <w:rFonts w:ascii="Times New Roman" w:hAnsi="Times New Roman" w:cs="Times New Roman"/>
          <w:bCs/>
        </w:rPr>
        <w:t>-én hozott ítélet,</w:t>
      </w:r>
      <w:r w:rsidRPr="00CC4743">
        <w:rPr>
          <w:rFonts w:ascii="Times New Roman" w:hAnsi="Times New Roman" w:cs="Times New Roman"/>
          <w:bCs/>
        </w:rPr>
        <w:t xml:space="preserve"> </w:t>
      </w:r>
      <w:r w:rsidRPr="00CC4743">
        <w:rPr>
          <w:rFonts w:ascii="Times New Roman" w:hAnsi="Times New Roman" w:cs="Times New Roman"/>
        </w:rPr>
        <w:t>ECLI:EU:C:2018:117</w:t>
      </w:r>
      <w:r>
        <w:rPr>
          <w:rFonts w:ascii="Times New Roman" w:hAnsi="Times New Roman" w:cs="Times New Roman"/>
        </w:rPr>
        <w:t>.</w:t>
      </w:r>
    </w:p>
  </w:footnote>
  <w:footnote w:id="9">
    <w:p w14:paraId="1F738C81" w14:textId="77777777" w:rsidR="00235CC9" w:rsidRPr="00E024A9" w:rsidRDefault="00235CC9" w:rsidP="00235CC9">
      <w:pPr>
        <w:spacing w:after="0" w:line="240" w:lineRule="auto"/>
        <w:rPr>
          <w:rFonts w:ascii="Times New Roman" w:hAnsi="Times New Roman" w:cs="Times New Roman"/>
          <w:sz w:val="20"/>
          <w:szCs w:val="20"/>
        </w:rPr>
      </w:pPr>
      <w:r w:rsidRPr="00E024A9">
        <w:rPr>
          <w:rFonts w:ascii="Times New Roman" w:hAnsi="Times New Roman" w:cs="Times New Roman"/>
          <w:sz w:val="20"/>
          <w:szCs w:val="20"/>
          <w:vertAlign w:val="superscript"/>
        </w:rPr>
        <w:footnoteRef/>
      </w:r>
      <w:r w:rsidRPr="00E024A9">
        <w:rPr>
          <w:rFonts w:ascii="Times New Roman" w:hAnsi="Times New Roman" w:cs="Times New Roman"/>
          <w:sz w:val="20"/>
          <w:szCs w:val="20"/>
          <w:vertAlign w:val="superscript"/>
        </w:rPr>
        <w:t xml:space="preserve"> </w:t>
      </w:r>
      <w:r w:rsidRPr="00E024A9">
        <w:rPr>
          <w:rFonts w:ascii="Times New Roman" w:hAnsi="Times New Roman" w:cs="Times New Roman"/>
          <w:sz w:val="20"/>
          <w:szCs w:val="20"/>
        </w:rPr>
        <w:t>Európai Unió Bírósága – Bíróság: C</w:t>
      </w:r>
      <w:r w:rsidRPr="00E024A9">
        <w:rPr>
          <w:rFonts w:ascii="Times New Roman" w:hAnsi="Times New Roman" w:cs="Times New Roman"/>
          <w:sz w:val="20"/>
          <w:szCs w:val="20"/>
        </w:rPr>
        <w:noBreakHyphen/>
        <w:t>58/13. és C</w:t>
      </w:r>
      <w:r w:rsidRPr="00E024A9">
        <w:rPr>
          <w:rFonts w:ascii="Times New Roman" w:hAnsi="Times New Roman" w:cs="Times New Roman"/>
          <w:sz w:val="20"/>
          <w:szCs w:val="20"/>
        </w:rPr>
        <w:noBreakHyphen/>
        <w:t xml:space="preserve">59/13. Angelo Alberto </w:t>
      </w:r>
      <w:proofErr w:type="spellStart"/>
      <w:r w:rsidRPr="00E024A9">
        <w:rPr>
          <w:rFonts w:ascii="Times New Roman" w:hAnsi="Times New Roman" w:cs="Times New Roman"/>
          <w:sz w:val="20"/>
          <w:szCs w:val="20"/>
        </w:rPr>
        <w:t>Torresi</w:t>
      </w:r>
      <w:proofErr w:type="spellEnd"/>
      <w:r w:rsidRPr="00E024A9">
        <w:rPr>
          <w:rFonts w:ascii="Times New Roman" w:hAnsi="Times New Roman" w:cs="Times New Roman"/>
          <w:sz w:val="20"/>
          <w:szCs w:val="20"/>
        </w:rPr>
        <w:t xml:space="preserve"> és </w:t>
      </w:r>
      <w:proofErr w:type="spellStart"/>
      <w:r w:rsidRPr="00E024A9">
        <w:rPr>
          <w:rFonts w:ascii="Times New Roman" w:hAnsi="Times New Roman" w:cs="Times New Roman"/>
          <w:sz w:val="20"/>
          <w:szCs w:val="20"/>
        </w:rPr>
        <w:t>Pierfrancesco</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Torresi</w:t>
      </w:r>
      <w:proofErr w:type="spellEnd"/>
      <w:r w:rsidRPr="00E024A9">
        <w:rPr>
          <w:rFonts w:ascii="Times New Roman" w:hAnsi="Times New Roman" w:cs="Times New Roman"/>
          <w:sz w:val="20"/>
          <w:szCs w:val="20"/>
        </w:rPr>
        <w:t xml:space="preserve"> kontra </w:t>
      </w:r>
      <w:proofErr w:type="spellStart"/>
      <w:r w:rsidRPr="00E024A9">
        <w:rPr>
          <w:rFonts w:ascii="Times New Roman" w:hAnsi="Times New Roman" w:cs="Times New Roman"/>
          <w:sz w:val="20"/>
          <w:szCs w:val="20"/>
        </w:rPr>
        <w:t>Consiglio</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dell’Ordine</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degli</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Avvocati</w:t>
      </w:r>
      <w:proofErr w:type="spellEnd"/>
      <w:r w:rsidRPr="00E024A9">
        <w:rPr>
          <w:rFonts w:ascii="Times New Roman" w:hAnsi="Times New Roman" w:cs="Times New Roman"/>
          <w:sz w:val="20"/>
          <w:szCs w:val="20"/>
        </w:rPr>
        <w:t xml:space="preserve"> di </w:t>
      </w:r>
      <w:proofErr w:type="spellStart"/>
      <w:r w:rsidRPr="00E024A9">
        <w:rPr>
          <w:rFonts w:ascii="Times New Roman" w:hAnsi="Times New Roman" w:cs="Times New Roman"/>
          <w:sz w:val="20"/>
          <w:szCs w:val="20"/>
        </w:rPr>
        <w:t>Macerata</w:t>
      </w:r>
      <w:proofErr w:type="spellEnd"/>
      <w:r w:rsidRPr="00E024A9">
        <w:rPr>
          <w:rFonts w:ascii="Times New Roman" w:hAnsi="Times New Roman" w:cs="Times New Roman"/>
          <w:sz w:val="20"/>
          <w:szCs w:val="20"/>
        </w:rPr>
        <w:t xml:space="preserve"> egyesített ügyekben 2014. július 17-én hozott ítélet, EU:C:2014:2088, 17. pont; Európai Unió Bírósága – Bíróság: C</w:t>
      </w:r>
      <w:r w:rsidRPr="00E024A9">
        <w:rPr>
          <w:rFonts w:ascii="Times New Roman" w:hAnsi="Times New Roman" w:cs="Times New Roman"/>
          <w:sz w:val="20"/>
          <w:szCs w:val="20"/>
        </w:rPr>
        <w:noBreakHyphen/>
        <w:t xml:space="preserve">203/14. </w:t>
      </w:r>
      <w:proofErr w:type="spellStart"/>
      <w:r w:rsidRPr="00E024A9">
        <w:rPr>
          <w:rFonts w:ascii="Times New Roman" w:hAnsi="Times New Roman" w:cs="Times New Roman"/>
          <w:sz w:val="20"/>
          <w:szCs w:val="20"/>
        </w:rPr>
        <w:t>Consorci</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Sanitari</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del</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Maresme</w:t>
      </w:r>
      <w:proofErr w:type="spellEnd"/>
      <w:r w:rsidRPr="00E024A9">
        <w:rPr>
          <w:rFonts w:ascii="Times New Roman" w:hAnsi="Times New Roman" w:cs="Times New Roman"/>
          <w:sz w:val="20"/>
          <w:szCs w:val="20"/>
        </w:rPr>
        <w:t xml:space="preserve"> kontra </w:t>
      </w:r>
      <w:proofErr w:type="spellStart"/>
      <w:r w:rsidRPr="00E024A9">
        <w:rPr>
          <w:rFonts w:ascii="Times New Roman" w:hAnsi="Times New Roman" w:cs="Times New Roman"/>
          <w:sz w:val="20"/>
          <w:szCs w:val="20"/>
        </w:rPr>
        <w:t>Corporació</w:t>
      </w:r>
      <w:proofErr w:type="spellEnd"/>
      <w:r w:rsidRPr="00E024A9">
        <w:rPr>
          <w:rFonts w:ascii="Times New Roman" w:hAnsi="Times New Roman" w:cs="Times New Roman"/>
          <w:sz w:val="20"/>
          <w:szCs w:val="20"/>
        </w:rPr>
        <w:t xml:space="preserve"> de </w:t>
      </w:r>
      <w:proofErr w:type="spellStart"/>
      <w:r w:rsidRPr="00E024A9">
        <w:rPr>
          <w:rFonts w:ascii="Times New Roman" w:hAnsi="Times New Roman" w:cs="Times New Roman"/>
          <w:sz w:val="20"/>
          <w:szCs w:val="20"/>
        </w:rPr>
        <w:t>Salut</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del</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Maresme</w:t>
      </w:r>
      <w:proofErr w:type="spellEnd"/>
      <w:r w:rsidRPr="00E024A9">
        <w:rPr>
          <w:rFonts w:ascii="Times New Roman" w:hAnsi="Times New Roman" w:cs="Times New Roman"/>
          <w:sz w:val="20"/>
          <w:szCs w:val="20"/>
        </w:rPr>
        <w:t xml:space="preserve"> i la </w:t>
      </w:r>
      <w:proofErr w:type="spellStart"/>
      <w:r w:rsidRPr="00E024A9">
        <w:rPr>
          <w:rFonts w:ascii="Times New Roman" w:hAnsi="Times New Roman" w:cs="Times New Roman"/>
          <w:sz w:val="20"/>
          <w:szCs w:val="20"/>
        </w:rPr>
        <w:t>Selva</w:t>
      </w:r>
      <w:proofErr w:type="spellEnd"/>
      <w:r w:rsidRPr="00E024A9">
        <w:rPr>
          <w:rFonts w:ascii="Times New Roman" w:hAnsi="Times New Roman" w:cs="Times New Roman"/>
          <w:sz w:val="20"/>
          <w:szCs w:val="20"/>
        </w:rPr>
        <w:t xml:space="preserve"> ügyben 2</w:t>
      </w:r>
      <w:r w:rsidRPr="00090CE9">
        <w:rPr>
          <w:rFonts w:ascii="Times New Roman" w:hAnsi="Times New Roman" w:cs="Times New Roman"/>
          <w:sz w:val="20"/>
          <w:szCs w:val="20"/>
        </w:rPr>
        <w:t>015</w:t>
      </w:r>
      <w:r w:rsidRPr="00E024A9">
        <w:rPr>
          <w:rFonts w:ascii="Times New Roman" w:hAnsi="Times New Roman" w:cs="Times New Roman"/>
          <w:sz w:val="20"/>
          <w:szCs w:val="20"/>
        </w:rPr>
        <w:t>. október 6-án hozott ítélet, EU:C:2015:664, 17. pont; Európai Unió Bírósága – Bíróság: C</w:t>
      </w:r>
      <w:r w:rsidRPr="00E024A9">
        <w:rPr>
          <w:rFonts w:ascii="Times New Roman" w:hAnsi="Times New Roman" w:cs="Times New Roman"/>
          <w:sz w:val="20"/>
          <w:szCs w:val="20"/>
        </w:rPr>
        <w:noBreakHyphen/>
        <w:t xml:space="preserve">503/15. Ramón </w:t>
      </w:r>
      <w:proofErr w:type="spellStart"/>
      <w:r w:rsidRPr="00E024A9">
        <w:rPr>
          <w:rFonts w:ascii="Times New Roman" w:hAnsi="Times New Roman" w:cs="Times New Roman"/>
          <w:sz w:val="20"/>
          <w:szCs w:val="20"/>
        </w:rPr>
        <w:t>Margarit</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Panicello</w:t>
      </w:r>
      <w:proofErr w:type="spellEnd"/>
      <w:r w:rsidRPr="00E024A9">
        <w:rPr>
          <w:rFonts w:ascii="Times New Roman" w:hAnsi="Times New Roman" w:cs="Times New Roman"/>
          <w:sz w:val="20"/>
          <w:szCs w:val="20"/>
        </w:rPr>
        <w:t xml:space="preserve"> </w:t>
      </w:r>
      <w:r>
        <w:rPr>
          <w:rFonts w:ascii="Times New Roman" w:hAnsi="Times New Roman" w:cs="Times New Roman"/>
          <w:sz w:val="20"/>
          <w:szCs w:val="20"/>
        </w:rPr>
        <w:t>kontra</w:t>
      </w:r>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Pilar</w:t>
      </w:r>
      <w:proofErr w:type="spellEnd"/>
      <w:r w:rsidRPr="00E024A9">
        <w:rPr>
          <w:rFonts w:ascii="Times New Roman" w:hAnsi="Times New Roman" w:cs="Times New Roman"/>
          <w:sz w:val="20"/>
          <w:szCs w:val="20"/>
        </w:rPr>
        <w:t xml:space="preserve"> </w:t>
      </w:r>
      <w:proofErr w:type="spellStart"/>
      <w:r w:rsidRPr="00E024A9">
        <w:rPr>
          <w:rFonts w:ascii="Times New Roman" w:hAnsi="Times New Roman" w:cs="Times New Roman"/>
          <w:sz w:val="20"/>
          <w:szCs w:val="20"/>
        </w:rPr>
        <w:t>Hernández</w:t>
      </w:r>
      <w:proofErr w:type="spellEnd"/>
      <w:r w:rsidRPr="00E024A9">
        <w:rPr>
          <w:rFonts w:ascii="Times New Roman" w:hAnsi="Times New Roman" w:cs="Times New Roman"/>
          <w:sz w:val="20"/>
          <w:szCs w:val="20"/>
        </w:rPr>
        <w:t xml:space="preserve"> Martínez </w:t>
      </w:r>
      <w:r>
        <w:rPr>
          <w:rFonts w:ascii="Times New Roman" w:hAnsi="Times New Roman" w:cs="Times New Roman"/>
          <w:sz w:val="20"/>
          <w:szCs w:val="20"/>
        </w:rPr>
        <w:t xml:space="preserve">ügyben </w:t>
      </w:r>
      <w:r w:rsidRPr="00E024A9">
        <w:rPr>
          <w:rFonts w:ascii="Times New Roman" w:hAnsi="Times New Roman" w:cs="Times New Roman"/>
          <w:sz w:val="20"/>
          <w:szCs w:val="20"/>
        </w:rPr>
        <w:t>2</w:t>
      </w:r>
      <w:r w:rsidRPr="00090CE9">
        <w:rPr>
          <w:rFonts w:ascii="Times New Roman" w:hAnsi="Times New Roman" w:cs="Times New Roman"/>
          <w:sz w:val="20"/>
          <w:szCs w:val="20"/>
        </w:rPr>
        <w:t xml:space="preserve">017. február 16-án hozott ítélet, </w:t>
      </w:r>
      <w:r w:rsidRPr="00E024A9">
        <w:rPr>
          <w:rFonts w:ascii="Times New Roman" w:hAnsi="Times New Roman" w:cs="Times New Roman"/>
          <w:sz w:val="20"/>
          <w:szCs w:val="20"/>
        </w:rPr>
        <w:t>EU:C:2017:126, 27. pont.</w:t>
      </w:r>
    </w:p>
  </w:footnote>
  <w:footnote w:id="10">
    <w:p w14:paraId="2EE1ED1B"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r w:rsidRPr="00441883">
        <w:rPr>
          <w:rFonts w:ascii="Times New Roman" w:hAnsi="Times New Roman" w:cs="Times New Roman"/>
        </w:rPr>
        <w:t xml:space="preserve">Európai Unió Bírósága – Bíróság: </w:t>
      </w:r>
      <w:r w:rsidRPr="00CC4743">
        <w:rPr>
          <w:rFonts w:ascii="Times New Roman" w:hAnsi="Times New Roman" w:cs="Times New Roman"/>
        </w:rPr>
        <w:t>C</w:t>
      </w:r>
      <w:r w:rsidRPr="00CC4743">
        <w:rPr>
          <w:rFonts w:ascii="Times New Roman" w:hAnsi="Times New Roman" w:cs="Times New Roman"/>
        </w:rPr>
        <w:noBreakHyphen/>
        <w:t>64/16. </w:t>
      </w:r>
      <w:proofErr w:type="spellStart"/>
      <w:r w:rsidRPr="00DA376D">
        <w:rPr>
          <w:rFonts w:ascii="Times New Roman" w:hAnsi="Times New Roman" w:cs="Times New Roman"/>
          <w:bCs/>
        </w:rPr>
        <w:t>Associação</w:t>
      </w:r>
      <w:proofErr w:type="spellEnd"/>
      <w:r w:rsidRPr="00DA376D">
        <w:rPr>
          <w:rFonts w:ascii="Times New Roman" w:hAnsi="Times New Roman" w:cs="Times New Roman"/>
          <w:bCs/>
        </w:rPr>
        <w:t xml:space="preserve"> </w:t>
      </w:r>
      <w:proofErr w:type="spellStart"/>
      <w:r w:rsidRPr="00DA376D">
        <w:rPr>
          <w:rFonts w:ascii="Times New Roman" w:hAnsi="Times New Roman" w:cs="Times New Roman"/>
          <w:bCs/>
        </w:rPr>
        <w:t>Sindical</w:t>
      </w:r>
      <w:proofErr w:type="spellEnd"/>
      <w:r w:rsidRPr="00DA376D">
        <w:rPr>
          <w:rFonts w:ascii="Times New Roman" w:hAnsi="Times New Roman" w:cs="Times New Roman"/>
          <w:bCs/>
        </w:rPr>
        <w:t xml:space="preserve"> </w:t>
      </w:r>
      <w:proofErr w:type="spellStart"/>
      <w:r w:rsidRPr="00DA376D">
        <w:rPr>
          <w:rFonts w:ascii="Times New Roman" w:hAnsi="Times New Roman" w:cs="Times New Roman"/>
          <w:bCs/>
        </w:rPr>
        <w:t>dos</w:t>
      </w:r>
      <w:proofErr w:type="spellEnd"/>
      <w:r w:rsidRPr="00DA376D">
        <w:rPr>
          <w:rFonts w:ascii="Times New Roman" w:hAnsi="Times New Roman" w:cs="Times New Roman"/>
          <w:bCs/>
        </w:rPr>
        <w:t xml:space="preserve"> </w:t>
      </w:r>
      <w:proofErr w:type="spellStart"/>
      <w:r w:rsidRPr="00DA376D">
        <w:rPr>
          <w:rFonts w:ascii="Times New Roman" w:hAnsi="Times New Roman" w:cs="Times New Roman"/>
          <w:bCs/>
        </w:rPr>
        <w:t>Juízes</w:t>
      </w:r>
      <w:proofErr w:type="spellEnd"/>
      <w:r w:rsidRPr="00DA376D">
        <w:rPr>
          <w:rFonts w:ascii="Times New Roman" w:hAnsi="Times New Roman" w:cs="Times New Roman"/>
          <w:bCs/>
        </w:rPr>
        <w:t xml:space="preserve"> </w:t>
      </w:r>
      <w:proofErr w:type="spellStart"/>
      <w:r w:rsidRPr="00DA376D">
        <w:rPr>
          <w:rFonts w:ascii="Times New Roman" w:hAnsi="Times New Roman" w:cs="Times New Roman"/>
          <w:bCs/>
        </w:rPr>
        <w:t>Portugueses</w:t>
      </w:r>
      <w:proofErr w:type="spellEnd"/>
      <w:r w:rsidRPr="00DA376D">
        <w:rPr>
          <w:rFonts w:ascii="Times New Roman" w:hAnsi="Times New Roman" w:cs="Times New Roman"/>
          <w:bCs/>
        </w:rPr>
        <w:t xml:space="preserve"> kontra </w:t>
      </w:r>
      <w:proofErr w:type="spellStart"/>
      <w:r w:rsidRPr="00DA376D">
        <w:rPr>
          <w:rFonts w:ascii="Times New Roman" w:hAnsi="Times New Roman" w:cs="Times New Roman"/>
          <w:bCs/>
        </w:rPr>
        <w:t>Tribunal</w:t>
      </w:r>
      <w:proofErr w:type="spellEnd"/>
      <w:r w:rsidRPr="00DA376D">
        <w:rPr>
          <w:rFonts w:ascii="Times New Roman" w:hAnsi="Times New Roman" w:cs="Times New Roman"/>
          <w:bCs/>
        </w:rPr>
        <w:t xml:space="preserve"> de </w:t>
      </w:r>
      <w:proofErr w:type="spellStart"/>
      <w:r w:rsidRPr="00DA376D">
        <w:rPr>
          <w:rFonts w:ascii="Times New Roman" w:hAnsi="Times New Roman" w:cs="Times New Roman"/>
          <w:bCs/>
        </w:rPr>
        <w:t>Contas</w:t>
      </w:r>
      <w:proofErr w:type="spellEnd"/>
      <w:r>
        <w:rPr>
          <w:rFonts w:ascii="Times New Roman" w:hAnsi="Times New Roman" w:cs="Times New Roman"/>
          <w:bCs/>
        </w:rPr>
        <w:t xml:space="preserve"> ügyben </w:t>
      </w:r>
      <w:r w:rsidRPr="00DA376D">
        <w:rPr>
          <w:rFonts w:ascii="Times New Roman" w:hAnsi="Times New Roman" w:cs="Times New Roman"/>
          <w:bCs/>
        </w:rPr>
        <w:t>2018. február 27</w:t>
      </w:r>
      <w:r>
        <w:rPr>
          <w:rFonts w:ascii="Times New Roman" w:hAnsi="Times New Roman" w:cs="Times New Roman"/>
          <w:bCs/>
        </w:rPr>
        <w:t>-én hozott ítélet,</w:t>
      </w:r>
      <w:r w:rsidRPr="00CC4743">
        <w:rPr>
          <w:rFonts w:ascii="Times New Roman" w:hAnsi="Times New Roman" w:cs="Times New Roman"/>
          <w:bCs/>
        </w:rPr>
        <w:t xml:space="preserve"> </w:t>
      </w:r>
      <w:r w:rsidRPr="00CC4743">
        <w:rPr>
          <w:rFonts w:ascii="Times New Roman" w:hAnsi="Times New Roman" w:cs="Times New Roman"/>
        </w:rPr>
        <w:t>ECLI:EU:C:2018:117</w:t>
      </w:r>
      <w:r>
        <w:rPr>
          <w:rFonts w:ascii="Times New Roman" w:hAnsi="Times New Roman" w:cs="Times New Roman"/>
        </w:rPr>
        <w:t>,</w:t>
      </w:r>
      <w:r w:rsidRPr="00CC4743">
        <w:rPr>
          <w:rFonts w:ascii="Times New Roman" w:hAnsi="Times New Roman" w:cs="Times New Roman"/>
        </w:rPr>
        <w:t xml:space="preserve"> 44. pont.</w:t>
      </w:r>
    </w:p>
  </w:footnote>
  <w:footnote w:id="11">
    <w:p w14:paraId="22A77CEB"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Szekszárdi Törvényszék, bíró; Nemzeti Közszolgálati Egyetem Államtudományi és Nemzetközi Tanulmányok Kar, egyetemi adjunktus</w:t>
      </w:r>
      <w:r>
        <w:rPr>
          <w:rFonts w:ascii="Times New Roman" w:hAnsi="Times New Roman" w:cs="Times New Roman"/>
        </w:rPr>
        <w:t>.</w:t>
      </w:r>
    </w:p>
  </w:footnote>
  <w:footnote w:id="12">
    <w:p w14:paraId="4F63591C"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Ezt támasztja alá, hogy a 4/2009/EK rendelet és a 2007. évi hágai egyezmény idegen nyelvű változatainak többsége azonos módon jelölik meg e közintézményeket („</w:t>
      </w:r>
      <w:proofErr w:type="spellStart"/>
      <w:r w:rsidRPr="00930F46">
        <w:rPr>
          <w:rFonts w:ascii="Times New Roman" w:hAnsi="Times New Roman" w:cs="Times New Roman"/>
        </w:rPr>
        <w:t>public</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bodies</w:t>
      </w:r>
      <w:proofErr w:type="spellEnd"/>
      <w:r w:rsidRPr="00930F46">
        <w:rPr>
          <w:rFonts w:ascii="Times New Roman" w:hAnsi="Times New Roman" w:cs="Times New Roman"/>
        </w:rPr>
        <w:t>”; „</w:t>
      </w:r>
      <w:proofErr w:type="spellStart"/>
      <w:r w:rsidRPr="00930F46">
        <w:rPr>
          <w:rFonts w:ascii="Times New Roman" w:hAnsi="Times New Roman" w:cs="Times New Roman"/>
        </w:rPr>
        <w:t>organismes</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publics</w:t>
      </w:r>
      <w:proofErr w:type="spellEnd"/>
      <w:r w:rsidRPr="00930F46">
        <w:rPr>
          <w:rFonts w:ascii="Times New Roman" w:hAnsi="Times New Roman" w:cs="Times New Roman"/>
        </w:rPr>
        <w:t>”; „</w:t>
      </w:r>
      <w:proofErr w:type="spellStart"/>
      <w:r w:rsidRPr="00930F46">
        <w:rPr>
          <w:rFonts w:ascii="Times New Roman" w:hAnsi="Times New Roman" w:cs="Times New Roman"/>
        </w:rPr>
        <w:t>öffentliche</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Aufgaben</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wahrnehmende</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Einrichtungen</w:t>
      </w:r>
      <w:proofErr w:type="spellEnd"/>
      <w:r w:rsidRPr="00930F46">
        <w:rPr>
          <w:rFonts w:ascii="Times New Roman" w:hAnsi="Times New Roman" w:cs="Times New Roman"/>
        </w:rPr>
        <w:t>”). A szakirodalomban vö.:</w:t>
      </w:r>
      <w:r w:rsidRPr="00410197">
        <w:t xml:space="preserve"> </w:t>
      </w:r>
      <w:proofErr w:type="spellStart"/>
      <w:r w:rsidRPr="00410197">
        <w:rPr>
          <w:rFonts w:ascii="Times New Roman" w:hAnsi="Times New Roman" w:cs="Times New Roman"/>
        </w:rPr>
        <w:t>Dieter</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Martiny</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Jurisdiction</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Recognition</w:t>
      </w:r>
      <w:proofErr w:type="spellEnd"/>
      <w:r w:rsidRPr="00410197">
        <w:rPr>
          <w:rFonts w:ascii="Times New Roman" w:hAnsi="Times New Roman" w:cs="Times New Roman"/>
        </w:rPr>
        <w:t xml:space="preserve"> and </w:t>
      </w:r>
      <w:proofErr w:type="spellStart"/>
      <w:r w:rsidRPr="00410197">
        <w:rPr>
          <w:rFonts w:ascii="Times New Roman" w:hAnsi="Times New Roman" w:cs="Times New Roman"/>
        </w:rPr>
        <w:t>Enforcement</w:t>
      </w:r>
      <w:proofErr w:type="spellEnd"/>
      <w:r w:rsidRPr="00410197">
        <w:rPr>
          <w:rFonts w:ascii="Times New Roman" w:hAnsi="Times New Roman" w:cs="Times New Roman"/>
        </w:rPr>
        <w:t xml:space="preserve"> in </w:t>
      </w:r>
      <w:proofErr w:type="spellStart"/>
      <w:r w:rsidRPr="00410197">
        <w:rPr>
          <w:rFonts w:ascii="Times New Roman" w:hAnsi="Times New Roman" w:cs="Times New Roman"/>
        </w:rPr>
        <w:t>Cases</w:t>
      </w:r>
      <w:proofErr w:type="spellEnd"/>
      <w:r w:rsidRPr="00410197">
        <w:rPr>
          <w:rFonts w:ascii="Times New Roman" w:hAnsi="Times New Roman" w:cs="Times New Roman"/>
        </w:rPr>
        <w:t xml:space="preserve"> of </w:t>
      </w:r>
      <w:proofErr w:type="spellStart"/>
      <w:r w:rsidRPr="00410197">
        <w:rPr>
          <w:rFonts w:ascii="Times New Roman" w:hAnsi="Times New Roman" w:cs="Times New Roman"/>
        </w:rPr>
        <w:t>Reinbursement</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Claims</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by</w:t>
      </w:r>
      <w:proofErr w:type="spellEnd"/>
      <w:r w:rsidRPr="00410197">
        <w:rPr>
          <w:rFonts w:ascii="Times New Roman" w:hAnsi="Times New Roman" w:cs="Times New Roman"/>
        </w:rPr>
        <w:t xml:space="preserve"> Public </w:t>
      </w:r>
      <w:proofErr w:type="spellStart"/>
      <w:r w:rsidRPr="00410197">
        <w:rPr>
          <w:rFonts w:ascii="Times New Roman" w:hAnsi="Times New Roman" w:cs="Times New Roman"/>
        </w:rPr>
        <w:t>Bodies</w:t>
      </w:r>
      <w:proofErr w:type="spellEnd"/>
      <w:r w:rsidRPr="00410197">
        <w:rPr>
          <w:rFonts w:ascii="Times New Roman" w:hAnsi="Times New Roman" w:cs="Times New Roman"/>
        </w:rPr>
        <w:t>. In</w:t>
      </w:r>
      <w:r>
        <w:rPr>
          <w:rFonts w:ascii="Times New Roman" w:hAnsi="Times New Roman" w:cs="Times New Roman"/>
        </w:rPr>
        <w:t>:</w:t>
      </w:r>
      <w:r w:rsidRPr="00410197">
        <w:rPr>
          <w:rFonts w:ascii="Times New Roman" w:hAnsi="Times New Roman" w:cs="Times New Roman"/>
        </w:rPr>
        <w:t xml:space="preserve"> Paul </w:t>
      </w:r>
      <w:proofErr w:type="spellStart"/>
      <w:r w:rsidRPr="00410197">
        <w:rPr>
          <w:rFonts w:ascii="Times New Roman" w:hAnsi="Times New Roman" w:cs="Times New Roman"/>
        </w:rPr>
        <w:t>Beaumont</w:t>
      </w:r>
      <w:proofErr w:type="spellEnd"/>
      <w:r w:rsidRPr="00410197">
        <w:rPr>
          <w:rFonts w:ascii="Times New Roman" w:hAnsi="Times New Roman" w:cs="Times New Roman"/>
        </w:rPr>
        <w:t xml:space="preserve"> – </w:t>
      </w:r>
      <w:proofErr w:type="spellStart"/>
      <w:r w:rsidRPr="00410197">
        <w:rPr>
          <w:rFonts w:ascii="Times New Roman" w:hAnsi="Times New Roman" w:cs="Times New Roman"/>
        </w:rPr>
        <w:t>Burkhard</w:t>
      </w:r>
      <w:proofErr w:type="spellEnd"/>
      <w:r w:rsidRPr="00410197">
        <w:rPr>
          <w:rFonts w:ascii="Times New Roman" w:hAnsi="Times New Roman" w:cs="Times New Roman"/>
        </w:rPr>
        <w:t xml:space="preserve"> Hess – Lara Walker – </w:t>
      </w:r>
      <w:proofErr w:type="spellStart"/>
      <w:r w:rsidRPr="00410197">
        <w:rPr>
          <w:rFonts w:ascii="Times New Roman" w:hAnsi="Times New Roman" w:cs="Times New Roman"/>
        </w:rPr>
        <w:t>Stefanie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Spancken</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eds</w:t>
      </w:r>
      <w:proofErr w:type="spellEnd"/>
      <w:r w:rsidRPr="00410197">
        <w:rPr>
          <w:rFonts w:ascii="Times New Roman" w:hAnsi="Times New Roman" w:cs="Times New Roman"/>
        </w:rPr>
        <w:t xml:space="preserve">.): The </w:t>
      </w:r>
      <w:proofErr w:type="spellStart"/>
      <w:r w:rsidRPr="00410197">
        <w:rPr>
          <w:rFonts w:ascii="Times New Roman" w:hAnsi="Times New Roman" w:cs="Times New Roman"/>
        </w:rPr>
        <w:t>Recovery</w:t>
      </w:r>
      <w:proofErr w:type="spellEnd"/>
      <w:r w:rsidRPr="00410197">
        <w:rPr>
          <w:rFonts w:ascii="Times New Roman" w:hAnsi="Times New Roman" w:cs="Times New Roman"/>
        </w:rPr>
        <w:t xml:space="preserve"> of </w:t>
      </w:r>
      <w:proofErr w:type="spellStart"/>
      <w:r w:rsidRPr="00410197">
        <w:rPr>
          <w:rFonts w:ascii="Times New Roman" w:hAnsi="Times New Roman" w:cs="Times New Roman"/>
        </w:rPr>
        <w:t>Maintenance</w:t>
      </w:r>
      <w:proofErr w:type="spellEnd"/>
      <w:r w:rsidRPr="00410197">
        <w:rPr>
          <w:rFonts w:ascii="Times New Roman" w:hAnsi="Times New Roman" w:cs="Times New Roman"/>
        </w:rPr>
        <w:t xml:space="preserve"> in </w:t>
      </w:r>
      <w:proofErr w:type="spellStart"/>
      <w:r w:rsidRPr="00410197">
        <w:rPr>
          <w:rFonts w:ascii="Times New Roman" w:hAnsi="Times New Roman" w:cs="Times New Roman"/>
        </w:rPr>
        <w:t>the</w:t>
      </w:r>
      <w:proofErr w:type="spellEnd"/>
      <w:r w:rsidRPr="00410197">
        <w:rPr>
          <w:rFonts w:ascii="Times New Roman" w:hAnsi="Times New Roman" w:cs="Times New Roman"/>
        </w:rPr>
        <w:t xml:space="preserve"> EU and </w:t>
      </w:r>
      <w:proofErr w:type="spellStart"/>
      <w:r w:rsidRPr="00410197">
        <w:rPr>
          <w:rFonts w:ascii="Times New Roman" w:hAnsi="Times New Roman" w:cs="Times New Roman"/>
        </w:rPr>
        <w:t>Worldwide</w:t>
      </w:r>
      <w:proofErr w:type="spellEnd"/>
      <w:r w:rsidRPr="00410197">
        <w:rPr>
          <w:rFonts w:ascii="Times New Roman" w:hAnsi="Times New Roman" w:cs="Times New Roman"/>
        </w:rPr>
        <w:t>. Hart Publishing, Oxford, 2014</w:t>
      </w:r>
      <w:r w:rsidRPr="00930F46">
        <w:rPr>
          <w:rFonts w:ascii="Times New Roman" w:hAnsi="Times New Roman" w:cs="Times New Roman"/>
        </w:rPr>
        <w:t>, 486.</w:t>
      </w:r>
      <w:r>
        <w:rPr>
          <w:rFonts w:ascii="Times New Roman" w:hAnsi="Times New Roman" w:cs="Times New Roman"/>
        </w:rPr>
        <w:t xml:space="preserve"> o.</w:t>
      </w:r>
      <w:r w:rsidRPr="00930F46">
        <w:rPr>
          <w:rFonts w:ascii="Times New Roman" w:hAnsi="Times New Roman" w:cs="Times New Roman"/>
        </w:rPr>
        <w:t>;</w:t>
      </w:r>
      <w:r w:rsidRPr="00410197">
        <w:t xml:space="preserve"> </w:t>
      </w:r>
      <w:r w:rsidRPr="00410197">
        <w:rPr>
          <w:rFonts w:ascii="Times New Roman" w:hAnsi="Times New Roman" w:cs="Times New Roman"/>
        </w:rPr>
        <w:t xml:space="preserve">Marianne </w:t>
      </w:r>
      <w:proofErr w:type="spellStart"/>
      <w:r w:rsidRPr="00410197">
        <w:rPr>
          <w:rFonts w:ascii="Times New Roman" w:hAnsi="Times New Roman" w:cs="Times New Roman"/>
        </w:rPr>
        <w:t>Andrae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Verordnung</w:t>
      </w:r>
      <w:proofErr w:type="spellEnd"/>
      <w:r w:rsidRPr="00410197">
        <w:rPr>
          <w:rFonts w:ascii="Times New Roman" w:hAnsi="Times New Roman" w:cs="Times New Roman"/>
        </w:rPr>
        <w:t xml:space="preserve"> (EG) Nr 4/2009 </w:t>
      </w:r>
      <w:proofErr w:type="spellStart"/>
      <w:r w:rsidRPr="00410197">
        <w:rPr>
          <w:rFonts w:ascii="Times New Roman" w:hAnsi="Times New Roman" w:cs="Times New Roman"/>
        </w:rPr>
        <w:t>des</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Rates</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vom</w:t>
      </w:r>
      <w:proofErr w:type="spellEnd"/>
      <w:r w:rsidRPr="00410197">
        <w:rPr>
          <w:rFonts w:ascii="Times New Roman" w:hAnsi="Times New Roman" w:cs="Times New Roman"/>
        </w:rPr>
        <w:t xml:space="preserve"> 18. </w:t>
      </w:r>
      <w:proofErr w:type="spellStart"/>
      <w:r w:rsidRPr="00410197">
        <w:rPr>
          <w:rFonts w:ascii="Times New Roman" w:hAnsi="Times New Roman" w:cs="Times New Roman"/>
        </w:rPr>
        <w:t>Dezember</w:t>
      </w:r>
      <w:proofErr w:type="spellEnd"/>
      <w:r w:rsidRPr="00410197">
        <w:rPr>
          <w:rFonts w:ascii="Times New Roman" w:hAnsi="Times New Roman" w:cs="Times New Roman"/>
        </w:rPr>
        <w:t xml:space="preserve"> 2008 </w:t>
      </w:r>
      <w:proofErr w:type="spellStart"/>
      <w:r w:rsidRPr="00410197">
        <w:rPr>
          <w:rFonts w:ascii="Times New Roman" w:hAnsi="Times New Roman" w:cs="Times New Roman"/>
        </w:rPr>
        <w:t>über</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die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Zuständigkeit</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das</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anwendbare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Recht</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die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Anerkennung</w:t>
      </w:r>
      <w:proofErr w:type="spellEnd"/>
      <w:r w:rsidRPr="00410197">
        <w:rPr>
          <w:rFonts w:ascii="Times New Roman" w:hAnsi="Times New Roman" w:cs="Times New Roman"/>
        </w:rPr>
        <w:t xml:space="preserve"> und </w:t>
      </w:r>
      <w:proofErr w:type="spellStart"/>
      <w:r w:rsidRPr="00410197">
        <w:rPr>
          <w:rFonts w:ascii="Times New Roman" w:hAnsi="Times New Roman" w:cs="Times New Roman"/>
        </w:rPr>
        <w:t>Vollstreckung</w:t>
      </w:r>
      <w:proofErr w:type="spellEnd"/>
      <w:r w:rsidRPr="00410197">
        <w:rPr>
          <w:rFonts w:ascii="Times New Roman" w:hAnsi="Times New Roman" w:cs="Times New Roman"/>
        </w:rPr>
        <w:t xml:space="preserve"> von </w:t>
      </w:r>
      <w:proofErr w:type="spellStart"/>
      <w:r w:rsidRPr="00410197">
        <w:rPr>
          <w:rFonts w:ascii="Times New Roman" w:hAnsi="Times New Roman" w:cs="Times New Roman"/>
        </w:rPr>
        <w:t>Entscheidungen</w:t>
      </w:r>
      <w:proofErr w:type="spellEnd"/>
      <w:r w:rsidRPr="00410197">
        <w:rPr>
          <w:rFonts w:ascii="Times New Roman" w:hAnsi="Times New Roman" w:cs="Times New Roman"/>
        </w:rPr>
        <w:t xml:space="preserve"> und </w:t>
      </w:r>
      <w:proofErr w:type="spellStart"/>
      <w:r w:rsidRPr="00410197">
        <w:rPr>
          <w:rFonts w:ascii="Times New Roman" w:hAnsi="Times New Roman" w:cs="Times New Roman"/>
        </w:rPr>
        <w:t>die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Zusemmenarbeit</w:t>
      </w:r>
      <w:proofErr w:type="spellEnd"/>
      <w:r w:rsidRPr="00410197">
        <w:rPr>
          <w:rFonts w:ascii="Times New Roman" w:hAnsi="Times New Roman" w:cs="Times New Roman"/>
        </w:rPr>
        <w:t xml:space="preserve"> in </w:t>
      </w:r>
      <w:proofErr w:type="spellStart"/>
      <w:r w:rsidRPr="00410197">
        <w:rPr>
          <w:rFonts w:ascii="Times New Roman" w:hAnsi="Times New Roman" w:cs="Times New Roman"/>
        </w:rPr>
        <w:t>Unterhaltssachen</w:t>
      </w:r>
      <w:proofErr w:type="spellEnd"/>
      <w:r w:rsidRPr="00410197">
        <w:rPr>
          <w:rFonts w:ascii="Times New Roman" w:hAnsi="Times New Roman" w:cs="Times New Roman"/>
        </w:rPr>
        <w:t>. In</w:t>
      </w:r>
      <w:r>
        <w:rPr>
          <w:rFonts w:ascii="Times New Roman" w:hAnsi="Times New Roman" w:cs="Times New Roman"/>
        </w:rPr>
        <w:t>:</w:t>
      </w:r>
      <w:r w:rsidRPr="00410197">
        <w:rPr>
          <w:rFonts w:ascii="Times New Roman" w:hAnsi="Times New Roman" w:cs="Times New Roman"/>
        </w:rPr>
        <w:t xml:space="preserve"> Thomas </w:t>
      </w:r>
      <w:proofErr w:type="spellStart"/>
      <w:r w:rsidRPr="00410197">
        <w:rPr>
          <w:rFonts w:ascii="Times New Roman" w:hAnsi="Times New Roman" w:cs="Times New Roman"/>
        </w:rPr>
        <w:t>Rauscher</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ed</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Europäisches</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Zivilprozess</w:t>
      </w:r>
      <w:proofErr w:type="spellEnd"/>
      <w:r w:rsidRPr="00410197">
        <w:rPr>
          <w:rFonts w:ascii="Times New Roman" w:hAnsi="Times New Roman" w:cs="Times New Roman"/>
        </w:rPr>
        <w:t xml:space="preserve">- und </w:t>
      </w:r>
      <w:proofErr w:type="spellStart"/>
      <w:r w:rsidRPr="00410197">
        <w:rPr>
          <w:rFonts w:ascii="Times New Roman" w:hAnsi="Times New Roman" w:cs="Times New Roman"/>
        </w:rPr>
        <w:t>Kollisionsrecht</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Kommentar</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Sellier</w:t>
      </w:r>
      <w:proofErr w:type="spellEnd"/>
      <w:r w:rsidRPr="00410197">
        <w:rPr>
          <w:rFonts w:ascii="Times New Roman" w:hAnsi="Times New Roman" w:cs="Times New Roman"/>
        </w:rPr>
        <w:t>, München, 2014</w:t>
      </w:r>
      <w:r w:rsidRPr="00930F46">
        <w:rPr>
          <w:rFonts w:ascii="Times New Roman" w:hAnsi="Times New Roman" w:cs="Times New Roman"/>
        </w:rPr>
        <w:t xml:space="preserve">, Art. 64, </w:t>
      </w:r>
      <w:proofErr w:type="spellStart"/>
      <w:r w:rsidRPr="00930F46">
        <w:rPr>
          <w:rFonts w:ascii="Times New Roman" w:hAnsi="Times New Roman" w:cs="Times New Roman"/>
        </w:rPr>
        <w:t>Rn</w:t>
      </w:r>
      <w:proofErr w:type="spellEnd"/>
      <w:r w:rsidRPr="00930F46">
        <w:rPr>
          <w:rFonts w:ascii="Times New Roman" w:hAnsi="Times New Roman" w:cs="Times New Roman"/>
        </w:rPr>
        <w:t>. 1.;</w:t>
      </w:r>
      <w:r w:rsidRPr="00410197">
        <w:t xml:space="preserve"> </w:t>
      </w:r>
      <w:proofErr w:type="spellStart"/>
      <w:r w:rsidRPr="00410197">
        <w:rPr>
          <w:rFonts w:ascii="Times New Roman" w:hAnsi="Times New Roman" w:cs="Times New Roman"/>
        </w:rPr>
        <w:t>Reinhold</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Geimer</w:t>
      </w:r>
      <w:proofErr w:type="spellEnd"/>
      <w:r w:rsidRPr="00410197">
        <w:rPr>
          <w:rFonts w:ascii="Times New Roman" w:hAnsi="Times New Roman" w:cs="Times New Roman"/>
        </w:rPr>
        <w:t xml:space="preserve"> – Rolf A. Schütze: </w:t>
      </w:r>
      <w:proofErr w:type="spellStart"/>
      <w:r w:rsidRPr="00410197">
        <w:rPr>
          <w:rFonts w:ascii="Times New Roman" w:hAnsi="Times New Roman" w:cs="Times New Roman"/>
        </w:rPr>
        <w:t>Internationaler</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Rechtsverkehr</w:t>
      </w:r>
      <w:proofErr w:type="spellEnd"/>
      <w:r w:rsidRPr="00410197">
        <w:rPr>
          <w:rFonts w:ascii="Times New Roman" w:hAnsi="Times New Roman" w:cs="Times New Roman"/>
        </w:rPr>
        <w:t xml:space="preserve"> in </w:t>
      </w:r>
      <w:proofErr w:type="spellStart"/>
      <w:r w:rsidRPr="00410197">
        <w:rPr>
          <w:rFonts w:ascii="Times New Roman" w:hAnsi="Times New Roman" w:cs="Times New Roman"/>
        </w:rPr>
        <w:t>Zivil</w:t>
      </w:r>
      <w:proofErr w:type="spellEnd"/>
      <w:r w:rsidRPr="00410197">
        <w:rPr>
          <w:rFonts w:ascii="Times New Roman" w:hAnsi="Times New Roman" w:cs="Times New Roman"/>
        </w:rPr>
        <w:t xml:space="preserve">- und </w:t>
      </w:r>
      <w:proofErr w:type="spellStart"/>
      <w:r w:rsidRPr="00410197">
        <w:rPr>
          <w:rFonts w:ascii="Times New Roman" w:hAnsi="Times New Roman" w:cs="Times New Roman"/>
        </w:rPr>
        <w:t>Handelssachen</w:t>
      </w:r>
      <w:proofErr w:type="spellEnd"/>
      <w:r w:rsidRPr="00410197">
        <w:rPr>
          <w:rFonts w:ascii="Times New Roman" w:hAnsi="Times New Roman" w:cs="Times New Roman"/>
        </w:rPr>
        <w:t>. Band 2. C.H. Beck, München, 2014.</w:t>
      </w:r>
      <w:r w:rsidRPr="00930F46">
        <w:rPr>
          <w:rFonts w:ascii="Times New Roman" w:hAnsi="Times New Roman" w:cs="Times New Roman"/>
        </w:rPr>
        <w:t xml:space="preserve">, Art. 64., </w:t>
      </w:r>
      <w:proofErr w:type="spellStart"/>
      <w:r w:rsidRPr="00930F46">
        <w:rPr>
          <w:rFonts w:ascii="Times New Roman" w:hAnsi="Times New Roman" w:cs="Times New Roman"/>
        </w:rPr>
        <w:t>Rn</w:t>
      </w:r>
      <w:proofErr w:type="spellEnd"/>
      <w:r w:rsidRPr="00930F46">
        <w:rPr>
          <w:rFonts w:ascii="Times New Roman" w:hAnsi="Times New Roman" w:cs="Times New Roman"/>
        </w:rPr>
        <w:t>. 9.</w:t>
      </w:r>
    </w:p>
  </w:footnote>
  <w:footnote w:id="13">
    <w:p w14:paraId="315E747E"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4/2009/EK rendelet (14) preambulumbekezdés</w:t>
      </w:r>
      <w:r>
        <w:rPr>
          <w:rFonts w:ascii="Times New Roman" w:hAnsi="Times New Roman" w:cs="Times New Roman"/>
        </w:rPr>
        <w:t>.</w:t>
      </w:r>
    </w:p>
  </w:footnote>
  <w:footnote w:id="14">
    <w:p w14:paraId="0FA7E024"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Ian Curry-</w:t>
      </w:r>
      <w:proofErr w:type="spellStart"/>
      <w:r w:rsidRPr="00930F46">
        <w:rPr>
          <w:rFonts w:ascii="Times New Roman" w:hAnsi="Times New Roman" w:cs="Times New Roman"/>
        </w:rPr>
        <w:t>Sumner</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Administrative</w:t>
      </w:r>
      <w:proofErr w:type="spellEnd"/>
      <w:r w:rsidRPr="00930F46">
        <w:rPr>
          <w:rFonts w:ascii="Times New Roman" w:hAnsi="Times New Roman" w:cs="Times New Roman"/>
        </w:rPr>
        <w:t xml:space="preserve"> co-</w:t>
      </w:r>
      <w:proofErr w:type="spellStart"/>
      <w:r w:rsidRPr="00930F46">
        <w:rPr>
          <w:rFonts w:ascii="Times New Roman" w:hAnsi="Times New Roman" w:cs="Times New Roman"/>
        </w:rPr>
        <w:t>operation</w:t>
      </w:r>
      <w:proofErr w:type="spellEnd"/>
      <w:r w:rsidRPr="00930F46">
        <w:rPr>
          <w:rFonts w:ascii="Times New Roman" w:hAnsi="Times New Roman" w:cs="Times New Roman"/>
        </w:rPr>
        <w:t xml:space="preserve"> and free </w:t>
      </w:r>
      <w:proofErr w:type="spellStart"/>
      <w:r w:rsidRPr="00930F46">
        <w:rPr>
          <w:rFonts w:ascii="Times New Roman" w:hAnsi="Times New Roman" w:cs="Times New Roman"/>
        </w:rPr>
        <w:t>legal</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aid</w:t>
      </w:r>
      <w:proofErr w:type="spellEnd"/>
      <w:r w:rsidRPr="00930F46">
        <w:rPr>
          <w:rFonts w:ascii="Times New Roman" w:hAnsi="Times New Roman" w:cs="Times New Roman"/>
        </w:rPr>
        <w:t xml:space="preserve"> in </w:t>
      </w:r>
      <w:proofErr w:type="spellStart"/>
      <w:r w:rsidRPr="00930F46">
        <w:rPr>
          <w:rFonts w:ascii="Times New Roman" w:hAnsi="Times New Roman" w:cs="Times New Roman"/>
        </w:rPr>
        <w:t>international</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child</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maintenance</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recovery</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What</w:t>
      </w:r>
      <w:proofErr w:type="spellEnd"/>
      <w:r w:rsidRPr="00930F46">
        <w:rPr>
          <w:rFonts w:ascii="Times New Roman" w:hAnsi="Times New Roman" w:cs="Times New Roman"/>
        </w:rPr>
        <w:t xml:space="preserve"> is </w:t>
      </w:r>
      <w:proofErr w:type="spellStart"/>
      <w:r w:rsidRPr="00930F46">
        <w:rPr>
          <w:rFonts w:ascii="Times New Roman" w:hAnsi="Times New Roman" w:cs="Times New Roman"/>
        </w:rPr>
        <w:t>the</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added</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value</w:t>
      </w:r>
      <w:proofErr w:type="spellEnd"/>
      <w:r w:rsidRPr="00930F46">
        <w:rPr>
          <w:rFonts w:ascii="Times New Roman" w:hAnsi="Times New Roman" w:cs="Times New Roman"/>
        </w:rPr>
        <w:t xml:space="preserve"> of </w:t>
      </w:r>
      <w:proofErr w:type="spellStart"/>
      <w:r w:rsidRPr="00930F46">
        <w:rPr>
          <w:rFonts w:ascii="Times New Roman" w:hAnsi="Times New Roman" w:cs="Times New Roman"/>
        </w:rPr>
        <w:t>the</w:t>
      </w:r>
      <w:proofErr w:type="spellEnd"/>
      <w:r w:rsidRPr="00930F46">
        <w:rPr>
          <w:rFonts w:ascii="Times New Roman" w:hAnsi="Times New Roman" w:cs="Times New Roman"/>
        </w:rPr>
        <w:t xml:space="preserve"> European </w:t>
      </w:r>
      <w:proofErr w:type="spellStart"/>
      <w:r w:rsidRPr="00930F46">
        <w:rPr>
          <w:rFonts w:ascii="Times New Roman" w:hAnsi="Times New Roman" w:cs="Times New Roman"/>
        </w:rPr>
        <w:t>Maintenance</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Regulation</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Nederlands</w:t>
      </w:r>
      <w:proofErr w:type="spellEnd"/>
      <w:r w:rsidRPr="00930F46">
        <w:rPr>
          <w:rFonts w:ascii="Times New Roman" w:hAnsi="Times New Roman" w:cs="Times New Roman"/>
        </w:rPr>
        <w:t xml:space="preserve"> International </w:t>
      </w:r>
      <w:proofErr w:type="spellStart"/>
      <w:r w:rsidRPr="00930F46">
        <w:rPr>
          <w:rFonts w:ascii="Times New Roman" w:hAnsi="Times New Roman" w:cs="Times New Roman"/>
        </w:rPr>
        <w:t>Privatrecht</w:t>
      </w:r>
      <w:proofErr w:type="spellEnd"/>
      <w:r w:rsidRPr="00930F46">
        <w:rPr>
          <w:rFonts w:ascii="Times New Roman" w:hAnsi="Times New Roman" w:cs="Times New Roman"/>
        </w:rPr>
        <w:t>, 2010/4., 617.</w:t>
      </w:r>
      <w:r>
        <w:rPr>
          <w:rFonts w:ascii="Times New Roman" w:hAnsi="Times New Roman" w:cs="Times New Roman"/>
        </w:rPr>
        <w:t xml:space="preserve"> o.</w:t>
      </w:r>
    </w:p>
  </w:footnote>
  <w:footnote w:id="15">
    <w:p w14:paraId="364E7ACD"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7611A4">
        <w:t xml:space="preserve"> </w:t>
      </w:r>
      <w:proofErr w:type="spellStart"/>
      <w:r w:rsidRPr="007611A4">
        <w:rPr>
          <w:rFonts w:ascii="Times New Roman" w:hAnsi="Times New Roman" w:cs="Times New Roman"/>
        </w:rPr>
        <w:t>Reinhold</w:t>
      </w:r>
      <w:proofErr w:type="spellEnd"/>
      <w:r w:rsidRPr="007611A4">
        <w:rPr>
          <w:rFonts w:ascii="Times New Roman" w:hAnsi="Times New Roman" w:cs="Times New Roman"/>
        </w:rPr>
        <w:t xml:space="preserve"> </w:t>
      </w:r>
      <w:proofErr w:type="spellStart"/>
      <w:r w:rsidRPr="007611A4">
        <w:rPr>
          <w:rFonts w:ascii="Times New Roman" w:hAnsi="Times New Roman" w:cs="Times New Roman"/>
        </w:rPr>
        <w:t>Geimer</w:t>
      </w:r>
      <w:proofErr w:type="spellEnd"/>
      <w:r w:rsidRPr="007611A4">
        <w:rPr>
          <w:rFonts w:ascii="Times New Roman" w:hAnsi="Times New Roman" w:cs="Times New Roman"/>
        </w:rPr>
        <w:t xml:space="preserve"> – Rolf A. Schütze: </w:t>
      </w:r>
      <w:proofErr w:type="spellStart"/>
      <w:r w:rsidRPr="007611A4">
        <w:rPr>
          <w:rFonts w:ascii="Times New Roman" w:hAnsi="Times New Roman" w:cs="Times New Roman"/>
        </w:rPr>
        <w:t>Internationaler</w:t>
      </w:r>
      <w:proofErr w:type="spellEnd"/>
      <w:r w:rsidRPr="007611A4">
        <w:rPr>
          <w:rFonts w:ascii="Times New Roman" w:hAnsi="Times New Roman" w:cs="Times New Roman"/>
        </w:rPr>
        <w:t xml:space="preserve"> </w:t>
      </w:r>
      <w:proofErr w:type="spellStart"/>
      <w:r w:rsidRPr="007611A4">
        <w:rPr>
          <w:rFonts w:ascii="Times New Roman" w:hAnsi="Times New Roman" w:cs="Times New Roman"/>
        </w:rPr>
        <w:t>Rechtsverkehr</w:t>
      </w:r>
      <w:proofErr w:type="spellEnd"/>
      <w:r w:rsidRPr="007611A4">
        <w:rPr>
          <w:rFonts w:ascii="Times New Roman" w:hAnsi="Times New Roman" w:cs="Times New Roman"/>
        </w:rPr>
        <w:t xml:space="preserve"> in </w:t>
      </w:r>
      <w:proofErr w:type="spellStart"/>
      <w:r w:rsidRPr="007611A4">
        <w:rPr>
          <w:rFonts w:ascii="Times New Roman" w:hAnsi="Times New Roman" w:cs="Times New Roman"/>
        </w:rPr>
        <w:t>Zivil</w:t>
      </w:r>
      <w:proofErr w:type="spellEnd"/>
      <w:r w:rsidRPr="007611A4">
        <w:rPr>
          <w:rFonts w:ascii="Times New Roman" w:hAnsi="Times New Roman" w:cs="Times New Roman"/>
        </w:rPr>
        <w:t xml:space="preserve">- und </w:t>
      </w:r>
      <w:proofErr w:type="spellStart"/>
      <w:r w:rsidRPr="007611A4">
        <w:rPr>
          <w:rFonts w:ascii="Times New Roman" w:hAnsi="Times New Roman" w:cs="Times New Roman"/>
        </w:rPr>
        <w:t>Handelssachen</w:t>
      </w:r>
      <w:proofErr w:type="spellEnd"/>
      <w:r w:rsidRPr="007611A4">
        <w:rPr>
          <w:rFonts w:ascii="Times New Roman" w:hAnsi="Times New Roman" w:cs="Times New Roman"/>
        </w:rPr>
        <w:t>. Band 2. C.H. Beck, München, 2014.</w:t>
      </w:r>
      <w:r w:rsidRPr="00930F46">
        <w:rPr>
          <w:rFonts w:ascii="Times New Roman" w:hAnsi="Times New Roman" w:cs="Times New Roman"/>
        </w:rPr>
        <w:t xml:space="preserve">, Art. 64, </w:t>
      </w:r>
      <w:proofErr w:type="spellStart"/>
      <w:r w:rsidRPr="00930F46">
        <w:rPr>
          <w:rFonts w:ascii="Times New Roman" w:hAnsi="Times New Roman" w:cs="Times New Roman"/>
        </w:rPr>
        <w:t>Rn</w:t>
      </w:r>
      <w:proofErr w:type="spellEnd"/>
      <w:r w:rsidRPr="00930F46">
        <w:rPr>
          <w:rFonts w:ascii="Times New Roman" w:hAnsi="Times New Roman" w:cs="Times New Roman"/>
        </w:rPr>
        <w:t>. 9.</w:t>
      </w:r>
    </w:p>
  </w:footnote>
  <w:footnote w:id="16">
    <w:p w14:paraId="7BC9ED60"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Michel </w:t>
      </w:r>
      <w:proofErr w:type="spellStart"/>
      <w:r w:rsidRPr="00930F46">
        <w:rPr>
          <w:rFonts w:ascii="Times New Roman" w:hAnsi="Times New Roman" w:cs="Times New Roman"/>
        </w:rPr>
        <w:t>Verwilghen</w:t>
      </w:r>
      <w:proofErr w:type="spellEnd"/>
      <w:r w:rsidRPr="00930F46">
        <w:rPr>
          <w:rFonts w:ascii="Times New Roman" w:hAnsi="Times New Roman" w:cs="Times New Roman"/>
        </w:rPr>
        <w:t xml:space="preserve">: Rapport </w:t>
      </w:r>
      <w:proofErr w:type="spellStart"/>
      <w:r w:rsidRPr="00930F46">
        <w:rPr>
          <w:rFonts w:ascii="Times New Roman" w:hAnsi="Times New Roman" w:cs="Times New Roman"/>
        </w:rPr>
        <w:t>explicatif</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sur</w:t>
      </w:r>
      <w:proofErr w:type="spellEnd"/>
      <w:r w:rsidRPr="00930F46">
        <w:rPr>
          <w:rFonts w:ascii="Times New Roman" w:hAnsi="Times New Roman" w:cs="Times New Roman"/>
        </w:rPr>
        <w:t xml:space="preserve"> les </w:t>
      </w:r>
      <w:proofErr w:type="spellStart"/>
      <w:r w:rsidRPr="00930F46">
        <w:rPr>
          <w:rFonts w:ascii="Times New Roman" w:hAnsi="Times New Roman" w:cs="Times New Roman"/>
        </w:rPr>
        <w:t>Conventions-Obligations</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alimentaires</w:t>
      </w:r>
      <w:proofErr w:type="spellEnd"/>
      <w:r w:rsidRPr="00930F46">
        <w:rPr>
          <w:rFonts w:ascii="Times New Roman" w:hAnsi="Times New Roman" w:cs="Times New Roman"/>
        </w:rPr>
        <w:t xml:space="preserve"> de 1973. </w:t>
      </w:r>
      <w:proofErr w:type="spellStart"/>
      <w:r w:rsidRPr="00930F46">
        <w:rPr>
          <w:rFonts w:ascii="Times New Roman" w:hAnsi="Times New Roman" w:cs="Times New Roman"/>
        </w:rPr>
        <w:t>Tiré</w:t>
      </w:r>
      <w:proofErr w:type="spellEnd"/>
      <w:r w:rsidRPr="00930F46">
        <w:rPr>
          <w:rFonts w:ascii="Times New Roman" w:hAnsi="Times New Roman" w:cs="Times New Roman"/>
        </w:rPr>
        <w:t xml:space="preserve"> à part </w:t>
      </w:r>
      <w:proofErr w:type="spellStart"/>
      <w:r w:rsidRPr="00930F46">
        <w:rPr>
          <w:rFonts w:ascii="Times New Roman" w:hAnsi="Times New Roman" w:cs="Times New Roman"/>
        </w:rPr>
        <w:t>des</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Actes</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et</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documents</w:t>
      </w:r>
      <w:proofErr w:type="spellEnd"/>
      <w:r w:rsidRPr="00930F46">
        <w:rPr>
          <w:rFonts w:ascii="Times New Roman" w:hAnsi="Times New Roman" w:cs="Times New Roman"/>
        </w:rPr>
        <w:t xml:space="preserve"> de la </w:t>
      </w:r>
      <w:proofErr w:type="spellStart"/>
      <w:r w:rsidRPr="00930F46">
        <w:rPr>
          <w:rFonts w:ascii="Times New Roman" w:hAnsi="Times New Roman" w:cs="Times New Roman"/>
        </w:rPr>
        <w:t>Douzième</w:t>
      </w:r>
      <w:proofErr w:type="spellEnd"/>
      <w:r w:rsidRPr="00930F46">
        <w:rPr>
          <w:rFonts w:ascii="Times New Roman" w:hAnsi="Times New Roman" w:cs="Times New Roman"/>
        </w:rPr>
        <w:t xml:space="preserve"> session (1972), t. IV, </w:t>
      </w:r>
      <w:proofErr w:type="spellStart"/>
      <w:r w:rsidRPr="00930F46">
        <w:rPr>
          <w:rFonts w:ascii="Times New Roman" w:hAnsi="Times New Roman" w:cs="Times New Roman"/>
        </w:rPr>
        <w:t>Obligations</w:t>
      </w:r>
      <w:proofErr w:type="spellEnd"/>
      <w:r w:rsidRPr="00930F46">
        <w:rPr>
          <w:rFonts w:ascii="Times New Roman" w:hAnsi="Times New Roman" w:cs="Times New Roman"/>
        </w:rPr>
        <w:t xml:space="preserve"> </w:t>
      </w:r>
      <w:proofErr w:type="spellStart"/>
      <w:r w:rsidRPr="00930F46">
        <w:rPr>
          <w:rFonts w:ascii="Times New Roman" w:hAnsi="Times New Roman" w:cs="Times New Roman"/>
        </w:rPr>
        <w:t>alimentaires</w:t>
      </w:r>
      <w:proofErr w:type="spellEnd"/>
      <w:r w:rsidRPr="00930F46">
        <w:rPr>
          <w:rFonts w:ascii="Times New Roman" w:hAnsi="Times New Roman" w:cs="Times New Roman"/>
        </w:rPr>
        <w:t>, para. 90.</w:t>
      </w:r>
    </w:p>
  </w:footnote>
  <w:footnote w:id="17">
    <w:p w14:paraId="0CA47317"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410197">
        <w:t xml:space="preserve"> </w:t>
      </w:r>
      <w:r w:rsidRPr="00410197">
        <w:rPr>
          <w:rFonts w:ascii="Times New Roman" w:hAnsi="Times New Roman" w:cs="Times New Roman"/>
        </w:rPr>
        <w:t xml:space="preserve">Marianne </w:t>
      </w:r>
      <w:proofErr w:type="spellStart"/>
      <w:r w:rsidRPr="00410197">
        <w:rPr>
          <w:rFonts w:ascii="Times New Roman" w:hAnsi="Times New Roman" w:cs="Times New Roman"/>
        </w:rPr>
        <w:t>Andrae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Verordnung</w:t>
      </w:r>
      <w:proofErr w:type="spellEnd"/>
      <w:r w:rsidRPr="00410197">
        <w:rPr>
          <w:rFonts w:ascii="Times New Roman" w:hAnsi="Times New Roman" w:cs="Times New Roman"/>
        </w:rPr>
        <w:t xml:space="preserve"> (EG) Nr 4/2009 </w:t>
      </w:r>
      <w:proofErr w:type="spellStart"/>
      <w:r w:rsidRPr="00410197">
        <w:rPr>
          <w:rFonts w:ascii="Times New Roman" w:hAnsi="Times New Roman" w:cs="Times New Roman"/>
        </w:rPr>
        <w:t>des</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Rates</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vom</w:t>
      </w:r>
      <w:proofErr w:type="spellEnd"/>
      <w:r w:rsidRPr="00410197">
        <w:rPr>
          <w:rFonts w:ascii="Times New Roman" w:hAnsi="Times New Roman" w:cs="Times New Roman"/>
        </w:rPr>
        <w:t xml:space="preserve"> 18. </w:t>
      </w:r>
      <w:proofErr w:type="spellStart"/>
      <w:r w:rsidRPr="00410197">
        <w:rPr>
          <w:rFonts w:ascii="Times New Roman" w:hAnsi="Times New Roman" w:cs="Times New Roman"/>
        </w:rPr>
        <w:t>Dezember</w:t>
      </w:r>
      <w:proofErr w:type="spellEnd"/>
      <w:r w:rsidRPr="00410197">
        <w:rPr>
          <w:rFonts w:ascii="Times New Roman" w:hAnsi="Times New Roman" w:cs="Times New Roman"/>
        </w:rPr>
        <w:t xml:space="preserve"> 2008 </w:t>
      </w:r>
      <w:proofErr w:type="spellStart"/>
      <w:r w:rsidRPr="00410197">
        <w:rPr>
          <w:rFonts w:ascii="Times New Roman" w:hAnsi="Times New Roman" w:cs="Times New Roman"/>
        </w:rPr>
        <w:t>über</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die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Zuständigkeit</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das</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anwendbare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Recht</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die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Anerkennung</w:t>
      </w:r>
      <w:proofErr w:type="spellEnd"/>
      <w:r w:rsidRPr="00410197">
        <w:rPr>
          <w:rFonts w:ascii="Times New Roman" w:hAnsi="Times New Roman" w:cs="Times New Roman"/>
        </w:rPr>
        <w:t xml:space="preserve"> und </w:t>
      </w:r>
      <w:proofErr w:type="spellStart"/>
      <w:r w:rsidRPr="00410197">
        <w:rPr>
          <w:rFonts w:ascii="Times New Roman" w:hAnsi="Times New Roman" w:cs="Times New Roman"/>
        </w:rPr>
        <w:t>Vollstreckung</w:t>
      </w:r>
      <w:proofErr w:type="spellEnd"/>
      <w:r w:rsidRPr="00410197">
        <w:rPr>
          <w:rFonts w:ascii="Times New Roman" w:hAnsi="Times New Roman" w:cs="Times New Roman"/>
        </w:rPr>
        <w:t xml:space="preserve"> von </w:t>
      </w:r>
      <w:proofErr w:type="spellStart"/>
      <w:r w:rsidRPr="00410197">
        <w:rPr>
          <w:rFonts w:ascii="Times New Roman" w:hAnsi="Times New Roman" w:cs="Times New Roman"/>
        </w:rPr>
        <w:t>Entscheidungen</w:t>
      </w:r>
      <w:proofErr w:type="spellEnd"/>
      <w:r w:rsidRPr="00410197">
        <w:rPr>
          <w:rFonts w:ascii="Times New Roman" w:hAnsi="Times New Roman" w:cs="Times New Roman"/>
        </w:rPr>
        <w:t xml:space="preserve"> und </w:t>
      </w:r>
      <w:proofErr w:type="spellStart"/>
      <w:r w:rsidRPr="00410197">
        <w:rPr>
          <w:rFonts w:ascii="Times New Roman" w:hAnsi="Times New Roman" w:cs="Times New Roman"/>
        </w:rPr>
        <w:t>die</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Zusemmenarbeit</w:t>
      </w:r>
      <w:proofErr w:type="spellEnd"/>
      <w:r w:rsidRPr="00410197">
        <w:rPr>
          <w:rFonts w:ascii="Times New Roman" w:hAnsi="Times New Roman" w:cs="Times New Roman"/>
        </w:rPr>
        <w:t xml:space="preserve"> in </w:t>
      </w:r>
      <w:proofErr w:type="spellStart"/>
      <w:r w:rsidRPr="00410197">
        <w:rPr>
          <w:rFonts w:ascii="Times New Roman" w:hAnsi="Times New Roman" w:cs="Times New Roman"/>
        </w:rPr>
        <w:t>Unterhaltssachen</w:t>
      </w:r>
      <w:proofErr w:type="spellEnd"/>
      <w:r w:rsidRPr="00410197">
        <w:rPr>
          <w:rFonts w:ascii="Times New Roman" w:hAnsi="Times New Roman" w:cs="Times New Roman"/>
        </w:rPr>
        <w:t>. In</w:t>
      </w:r>
      <w:r>
        <w:rPr>
          <w:rFonts w:ascii="Times New Roman" w:hAnsi="Times New Roman" w:cs="Times New Roman"/>
        </w:rPr>
        <w:t>:</w:t>
      </w:r>
      <w:r w:rsidRPr="00410197">
        <w:rPr>
          <w:rFonts w:ascii="Times New Roman" w:hAnsi="Times New Roman" w:cs="Times New Roman"/>
        </w:rPr>
        <w:t xml:space="preserve"> Thomas </w:t>
      </w:r>
      <w:proofErr w:type="spellStart"/>
      <w:r w:rsidRPr="00410197">
        <w:rPr>
          <w:rFonts w:ascii="Times New Roman" w:hAnsi="Times New Roman" w:cs="Times New Roman"/>
        </w:rPr>
        <w:t>Rauscher</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ed</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Europäisches</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Zivilprozess</w:t>
      </w:r>
      <w:proofErr w:type="spellEnd"/>
      <w:r w:rsidRPr="00410197">
        <w:rPr>
          <w:rFonts w:ascii="Times New Roman" w:hAnsi="Times New Roman" w:cs="Times New Roman"/>
        </w:rPr>
        <w:t xml:space="preserve">- und </w:t>
      </w:r>
      <w:proofErr w:type="spellStart"/>
      <w:r w:rsidRPr="00410197">
        <w:rPr>
          <w:rFonts w:ascii="Times New Roman" w:hAnsi="Times New Roman" w:cs="Times New Roman"/>
        </w:rPr>
        <w:t>Kollisionsrecht</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Kommentar</w:t>
      </w:r>
      <w:proofErr w:type="spellEnd"/>
      <w:r w:rsidRPr="00410197">
        <w:rPr>
          <w:rFonts w:ascii="Times New Roman" w:hAnsi="Times New Roman" w:cs="Times New Roman"/>
        </w:rPr>
        <w:t xml:space="preserve">. </w:t>
      </w:r>
      <w:proofErr w:type="spellStart"/>
      <w:r w:rsidRPr="00410197">
        <w:rPr>
          <w:rFonts w:ascii="Times New Roman" w:hAnsi="Times New Roman" w:cs="Times New Roman"/>
        </w:rPr>
        <w:t>Sellier</w:t>
      </w:r>
      <w:proofErr w:type="spellEnd"/>
      <w:r w:rsidRPr="00410197">
        <w:rPr>
          <w:rFonts w:ascii="Times New Roman" w:hAnsi="Times New Roman" w:cs="Times New Roman"/>
        </w:rPr>
        <w:t>, München, 2014</w:t>
      </w:r>
      <w:r w:rsidRPr="00930F46">
        <w:rPr>
          <w:rFonts w:ascii="Times New Roman" w:hAnsi="Times New Roman" w:cs="Times New Roman"/>
        </w:rPr>
        <w:t xml:space="preserve">, Art. 64, </w:t>
      </w:r>
      <w:proofErr w:type="spellStart"/>
      <w:r w:rsidRPr="00930F46">
        <w:rPr>
          <w:rFonts w:ascii="Times New Roman" w:hAnsi="Times New Roman" w:cs="Times New Roman"/>
        </w:rPr>
        <w:t>Rn</w:t>
      </w:r>
      <w:proofErr w:type="spellEnd"/>
      <w:r w:rsidRPr="00930F46">
        <w:rPr>
          <w:rFonts w:ascii="Times New Roman" w:hAnsi="Times New Roman" w:cs="Times New Roman"/>
        </w:rPr>
        <w:t>. 1.</w:t>
      </w:r>
    </w:p>
  </w:footnote>
  <w:footnote w:id="18">
    <w:p w14:paraId="6EF80BEF" w14:textId="77777777" w:rsidR="00335766" w:rsidRDefault="00335766" w:rsidP="00335766">
      <w:pPr>
        <w:pStyle w:val="Lbjegyzetszveg"/>
      </w:pPr>
      <w:r>
        <w:rPr>
          <w:rStyle w:val="Lbjegyzet-hivatkozs"/>
        </w:rPr>
        <w:footnoteRef/>
      </w:r>
      <w:r>
        <w:t xml:space="preserve"> Sajtóreferens, Európai Unió Bírósága Sajtó- és Tájékoztatási Egység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1F52"/>
    <w:multiLevelType w:val="hybridMultilevel"/>
    <w:tmpl w:val="691E35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7C0B4A"/>
    <w:multiLevelType w:val="hybridMultilevel"/>
    <w:tmpl w:val="1A940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480407"/>
    <w:multiLevelType w:val="hybridMultilevel"/>
    <w:tmpl w:val="85B273F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B413786"/>
    <w:multiLevelType w:val="multilevel"/>
    <w:tmpl w:val="78B88F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7729554">
    <w:abstractNumId w:val="2"/>
  </w:num>
  <w:num w:numId="2" w16cid:durableId="1319646951">
    <w:abstractNumId w:val="1"/>
  </w:num>
  <w:num w:numId="3" w16cid:durableId="1818183487">
    <w:abstractNumId w:val="0"/>
  </w:num>
  <w:num w:numId="4" w16cid:durableId="1546913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66"/>
    <w:rsid w:val="00026AEE"/>
    <w:rsid w:val="000C01D8"/>
    <w:rsid w:val="00181D36"/>
    <w:rsid w:val="0019315D"/>
    <w:rsid w:val="001B3D38"/>
    <w:rsid w:val="00235CC9"/>
    <w:rsid w:val="00273004"/>
    <w:rsid w:val="00335766"/>
    <w:rsid w:val="003579BF"/>
    <w:rsid w:val="00357C6D"/>
    <w:rsid w:val="005B460D"/>
    <w:rsid w:val="0060380B"/>
    <w:rsid w:val="006141B4"/>
    <w:rsid w:val="00684037"/>
    <w:rsid w:val="006F6DF3"/>
    <w:rsid w:val="00701997"/>
    <w:rsid w:val="007E2015"/>
    <w:rsid w:val="00822D28"/>
    <w:rsid w:val="00890D7D"/>
    <w:rsid w:val="009C6B4B"/>
    <w:rsid w:val="00A07689"/>
    <w:rsid w:val="00AE0AE8"/>
    <w:rsid w:val="00AF6D58"/>
    <w:rsid w:val="00B92E7E"/>
    <w:rsid w:val="00C2185C"/>
    <w:rsid w:val="00DC075C"/>
    <w:rsid w:val="00DC245F"/>
    <w:rsid w:val="00DC2671"/>
    <w:rsid w:val="00E27060"/>
    <w:rsid w:val="00E75A0A"/>
    <w:rsid w:val="00E774BB"/>
    <w:rsid w:val="00EB6A32"/>
    <w:rsid w:val="00F1159E"/>
    <w:rsid w:val="00FB658E"/>
    <w:rsid w:val="00FD6B54"/>
    <w:rsid w:val="2974E391"/>
    <w:rsid w:val="47F41FED"/>
    <w:rsid w:val="4B428B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58FB"/>
  <w15:chartTrackingRefBased/>
  <w15:docId w15:val="{AF7E3818-7CE5-3945-9A1F-8B9A0A8F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5766"/>
    <w:pPr>
      <w:spacing w:after="160" w:line="256" w:lineRule="auto"/>
    </w:pPr>
    <w:rPr>
      <w:sz w:val="22"/>
      <w:szCs w:val="22"/>
    </w:rPr>
  </w:style>
  <w:style w:type="paragraph" w:styleId="Cmsor1">
    <w:name w:val="heading 1"/>
    <w:basedOn w:val="Norml"/>
    <w:next w:val="Norml"/>
    <w:link w:val="Cmsor1Char"/>
    <w:uiPriority w:val="9"/>
    <w:qFormat/>
    <w:rsid w:val="0033576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hu-HU"/>
    </w:rPr>
  </w:style>
  <w:style w:type="paragraph" w:styleId="Cmsor2">
    <w:name w:val="heading 2"/>
    <w:basedOn w:val="Norml"/>
    <w:link w:val="Cmsor2Char"/>
    <w:uiPriority w:val="9"/>
    <w:qFormat/>
    <w:rsid w:val="0033576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5766"/>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rsid w:val="00335766"/>
    <w:rPr>
      <w:rFonts w:ascii="Times New Roman" w:eastAsia="Times New Roman" w:hAnsi="Times New Roman" w:cs="Times New Roman"/>
      <w:b/>
      <w:bCs/>
      <w:sz w:val="36"/>
      <w:szCs w:val="36"/>
      <w:lang w:eastAsia="hu-HU"/>
    </w:rPr>
  </w:style>
  <w:style w:type="paragraph" w:customStyle="1" w:styleId="Default">
    <w:name w:val="Default"/>
    <w:rsid w:val="00335766"/>
    <w:pPr>
      <w:autoSpaceDE w:val="0"/>
      <w:autoSpaceDN w:val="0"/>
      <w:adjustRightInd w:val="0"/>
    </w:pPr>
    <w:rPr>
      <w:rFonts w:ascii="Times New Roman" w:hAnsi="Times New Roman" w:cs="Times New Roman"/>
      <w:color w:val="000000"/>
    </w:rPr>
  </w:style>
  <w:style w:type="paragraph" w:customStyle="1" w:styleId="Standard">
    <w:name w:val="Standard"/>
    <w:rsid w:val="00335766"/>
    <w:pPr>
      <w:widowControl w:val="0"/>
      <w:suppressAutoHyphens/>
      <w:autoSpaceDN w:val="0"/>
      <w:jc w:val="both"/>
      <w:textAlignment w:val="baseline"/>
    </w:pPr>
    <w:rPr>
      <w:rFonts w:ascii="Times New Roman" w:eastAsia="Times New Roman" w:hAnsi="Times New Roman" w:cs="Times New Roman"/>
      <w:kern w:val="3"/>
      <w:lang w:eastAsia="zh-CN" w:bidi="hi-IN"/>
    </w:rPr>
  </w:style>
  <w:style w:type="paragraph" w:styleId="NormlWeb">
    <w:name w:val="Normal (Web)"/>
    <w:basedOn w:val="Norml"/>
    <w:uiPriority w:val="99"/>
    <w:semiHidden/>
    <w:unhideWhenUsed/>
    <w:rsid w:val="00335766"/>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335766"/>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35766"/>
    <w:rPr>
      <w:rFonts w:ascii="Times New Roman" w:hAnsi="Times New Roman" w:cs="Times New Roman"/>
      <w:sz w:val="18"/>
      <w:szCs w:val="18"/>
    </w:rPr>
  </w:style>
  <w:style w:type="paragraph" w:styleId="Vltozat">
    <w:name w:val="Revision"/>
    <w:hidden/>
    <w:uiPriority w:val="99"/>
    <w:semiHidden/>
    <w:rsid w:val="00335766"/>
    <w:rPr>
      <w:sz w:val="22"/>
      <w:szCs w:val="22"/>
    </w:rPr>
  </w:style>
  <w:style w:type="character" w:styleId="Lbjegyzet-hivatkozs">
    <w:name w:val="footnote reference"/>
    <w:aliases w:val="Footnote reference number,Footnote symbol,note TESI,Footnote Reference in text,Ref,de nota al pie,Footnote number,callout,Marque note bas de page,Footnotes refss,FZ,Footnote Symbol,JFR-Fußnotenzeichen,*Footnote Reference"/>
    <w:basedOn w:val="Bekezdsalapbettpusa"/>
    <w:uiPriority w:val="99"/>
    <w:unhideWhenUsed/>
    <w:qFormat/>
    <w:rsid w:val="00335766"/>
    <w:rPr>
      <w:vertAlign w:val="superscript"/>
    </w:rPr>
  </w:style>
  <w:style w:type="paragraph" w:styleId="Lbjegyzetszveg">
    <w:name w:val="footnote text"/>
    <w:aliases w:val="EUMC_Lábjegyzetszöveg,Allmärkuse tekst Märk,fn,fn1,fn2,footnote text1,fn3,footnote text2,footnote text,Text pozn. pod čarou Char,Footnote Text Char Char Char Char,Footnote Text Char Char Char,Footnotes,Footnote ak,fn Char1, Char,Char"/>
    <w:basedOn w:val="Norml"/>
    <w:link w:val="LbjegyzetszvegChar"/>
    <w:uiPriority w:val="99"/>
    <w:unhideWhenUsed/>
    <w:qFormat/>
    <w:rsid w:val="00335766"/>
    <w:pPr>
      <w:spacing w:after="0" w:line="240" w:lineRule="auto"/>
    </w:pPr>
    <w:rPr>
      <w:rFonts w:eastAsiaTheme="minorEastAsia"/>
      <w:sz w:val="20"/>
      <w:szCs w:val="20"/>
      <w:lang w:eastAsia="hu-HU"/>
    </w:rPr>
  </w:style>
  <w:style w:type="character" w:customStyle="1" w:styleId="LbjegyzetszvegChar">
    <w:name w:val="Lábjegyzetszöveg Char"/>
    <w:aliases w:val="EUMC_Lábjegyzetszöveg Char,Allmärkuse tekst Märk Char,fn Char,fn1 Char,fn2 Char,footnote text1 Char,fn3 Char,footnote text2 Char,footnote text Char,Text pozn. pod čarou Char Char,Footnote Text Char Char Char Char Char,fn Char1 Char"/>
    <w:basedOn w:val="Bekezdsalapbettpusa"/>
    <w:link w:val="Lbjegyzetszveg"/>
    <w:uiPriority w:val="99"/>
    <w:rsid w:val="00335766"/>
    <w:rPr>
      <w:rFonts w:eastAsiaTheme="minorEastAsia"/>
      <w:sz w:val="20"/>
      <w:szCs w:val="20"/>
      <w:lang w:eastAsia="hu-HU"/>
    </w:rPr>
  </w:style>
  <w:style w:type="paragraph" w:styleId="Listaszerbekezds">
    <w:name w:val="List Paragraph"/>
    <w:basedOn w:val="Norml"/>
    <w:uiPriority w:val="34"/>
    <w:qFormat/>
    <w:rsid w:val="00335766"/>
    <w:pPr>
      <w:spacing w:after="200" w:line="276" w:lineRule="auto"/>
      <w:ind w:left="720"/>
      <w:contextualSpacing/>
    </w:pPr>
    <w:rPr>
      <w:rFonts w:eastAsiaTheme="minorEastAsia"/>
      <w:lang w:eastAsia="hu-HU"/>
    </w:rPr>
  </w:style>
  <w:style w:type="character" w:styleId="Hiperhivatkozs">
    <w:name w:val="Hyperlink"/>
    <w:basedOn w:val="Bekezdsalapbettpusa"/>
    <w:uiPriority w:val="99"/>
    <w:unhideWhenUsed/>
    <w:rsid w:val="00335766"/>
    <w:rPr>
      <w:color w:val="0563C1" w:themeColor="hyperlink"/>
      <w:u w:val="single"/>
    </w:rPr>
  </w:style>
  <w:style w:type="character" w:styleId="Kiemels">
    <w:name w:val="Emphasis"/>
    <w:basedOn w:val="Bekezdsalapbettpusa"/>
    <w:uiPriority w:val="20"/>
    <w:qFormat/>
    <w:rsid w:val="00335766"/>
    <w:rPr>
      <w:i/>
      <w:iCs/>
    </w:rPr>
  </w:style>
  <w:style w:type="character" w:styleId="Kiemels2">
    <w:name w:val="Strong"/>
    <w:basedOn w:val="Bekezdsalapbettpusa"/>
    <w:uiPriority w:val="22"/>
    <w:qFormat/>
    <w:rsid w:val="00335766"/>
    <w:rPr>
      <w:b/>
      <w:bCs/>
    </w:rPr>
  </w:style>
  <w:style w:type="paragraph" w:customStyle="1" w:styleId="c01pointnumerotealtn">
    <w:name w:val="c01pointnumerotealtn"/>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335766"/>
    <w:rPr>
      <w:sz w:val="16"/>
      <w:szCs w:val="16"/>
    </w:rPr>
  </w:style>
  <w:style w:type="paragraph" w:styleId="Jegyzetszveg">
    <w:name w:val="annotation text"/>
    <w:basedOn w:val="Norml"/>
    <w:link w:val="JegyzetszvegChar"/>
    <w:uiPriority w:val="99"/>
    <w:semiHidden/>
    <w:unhideWhenUsed/>
    <w:rsid w:val="00335766"/>
    <w:pPr>
      <w:spacing w:after="200" w:line="240" w:lineRule="auto"/>
    </w:pPr>
    <w:rPr>
      <w:rFonts w:eastAsiaTheme="minorEastAsia"/>
      <w:sz w:val="20"/>
      <w:szCs w:val="20"/>
      <w:lang w:eastAsia="hu-HU"/>
    </w:rPr>
  </w:style>
  <w:style w:type="character" w:customStyle="1" w:styleId="JegyzetszvegChar">
    <w:name w:val="Jegyzetszöveg Char"/>
    <w:basedOn w:val="Bekezdsalapbettpusa"/>
    <w:link w:val="Jegyzetszveg"/>
    <w:uiPriority w:val="99"/>
    <w:semiHidden/>
    <w:rsid w:val="00335766"/>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335766"/>
    <w:rPr>
      <w:b/>
      <w:bCs/>
    </w:rPr>
  </w:style>
  <w:style w:type="character" w:customStyle="1" w:styleId="MegjegyzstrgyaChar">
    <w:name w:val="Megjegyzés tárgya Char"/>
    <w:basedOn w:val="JegyzetszvegChar"/>
    <w:link w:val="Megjegyzstrgya"/>
    <w:uiPriority w:val="99"/>
    <w:semiHidden/>
    <w:rsid w:val="00335766"/>
    <w:rPr>
      <w:rFonts w:eastAsiaTheme="minorEastAsia"/>
      <w:b/>
      <w:bCs/>
      <w:sz w:val="20"/>
      <w:szCs w:val="20"/>
      <w:lang w:eastAsia="hu-HU"/>
    </w:rPr>
  </w:style>
  <w:style w:type="character" w:customStyle="1" w:styleId="Feloldatlanmegemlts1">
    <w:name w:val="Feloldatlan megemlítés1"/>
    <w:basedOn w:val="Bekezdsalapbettpusa"/>
    <w:uiPriority w:val="99"/>
    <w:semiHidden/>
    <w:unhideWhenUsed/>
    <w:rsid w:val="00335766"/>
    <w:rPr>
      <w:color w:val="605E5C"/>
      <w:shd w:val="clear" w:color="auto" w:fill="E1DFDD"/>
    </w:rPr>
  </w:style>
  <w:style w:type="paragraph" w:customStyle="1" w:styleId="oj-doc-ti">
    <w:name w:val="oj-doc-ti"/>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3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335766"/>
    <w:rPr>
      <w:rFonts w:ascii="Courier New" w:eastAsia="Times New Roman" w:hAnsi="Courier New" w:cs="Courier New"/>
      <w:sz w:val="20"/>
      <w:szCs w:val="20"/>
      <w:lang w:eastAsia="hu-HU"/>
    </w:rPr>
  </w:style>
  <w:style w:type="character" w:customStyle="1" w:styleId="y2iqfc">
    <w:name w:val="y2iqfc"/>
    <w:basedOn w:val="Bekezdsalapbettpusa"/>
    <w:rsid w:val="00335766"/>
  </w:style>
  <w:style w:type="paragraph" w:customStyle="1" w:styleId="c38centregrasgrandespacement">
    <w:name w:val="c38centregrasgrandespacement"/>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37centregras">
    <w:name w:val="c37centregras"/>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35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2852</Words>
  <Characters>19685</Characters>
  <Application>Microsoft Office Word</Application>
  <DocSecurity>0</DocSecurity>
  <Lines>164</Lines>
  <Paragraphs>44</Paragraphs>
  <ScaleCrop>false</ScaleCrop>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Lestyánszky Ádám Imre</dc:creator>
  <cp:keywords/>
  <dc:description/>
  <cp:lastModifiedBy>Gerse Márton</cp:lastModifiedBy>
  <cp:revision>6</cp:revision>
  <dcterms:created xsi:type="dcterms:W3CDTF">2022-08-24T08:19:00Z</dcterms:created>
  <dcterms:modified xsi:type="dcterms:W3CDTF">2022-08-24T09:17:00Z</dcterms:modified>
</cp:coreProperties>
</file>