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39D" w14:textId="77777777" w:rsidR="009C6B4B" w:rsidRDefault="00335766" w:rsidP="00335766">
      <w:pPr>
        <w:pStyle w:val="Default"/>
      </w:pPr>
      <w:r w:rsidRPr="00EF3A89">
        <w:rPr>
          <w:b/>
          <w:bCs/>
          <w:u w:val="single"/>
        </w:rPr>
        <w:t>Jelmagyarázat:</w:t>
      </w:r>
    </w:p>
    <w:p w14:paraId="672CBBEE" w14:textId="0654436D" w:rsidR="00335766" w:rsidRDefault="009C6B4B" w:rsidP="00335766">
      <w:pPr>
        <w:pStyle w:val="Default"/>
      </w:pPr>
      <w:r>
        <w:t xml:space="preserve">– </w:t>
      </w:r>
      <w:r w:rsidR="00335766" w:rsidRPr="00EF3A89">
        <w:t xml:space="preserve">a </w:t>
      </w:r>
      <w:r w:rsidR="00335766" w:rsidRPr="00EF3A89">
        <w:rPr>
          <w:color w:val="FF0000"/>
        </w:rPr>
        <w:t xml:space="preserve">pirossal szedett címek </w:t>
      </w:r>
      <w:r w:rsidR="00335766">
        <w:rPr>
          <w:color w:val="000000" w:themeColor="text1"/>
        </w:rPr>
        <w:t>és a hozzájuk tartozó rövid</w:t>
      </w:r>
      <w:r>
        <w:rPr>
          <w:color w:val="000000" w:themeColor="text1"/>
        </w:rPr>
        <w:t>, felsorolásszerű ismertető</w:t>
      </w:r>
      <w:r w:rsidR="00335766">
        <w:rPr>
          <w:color w:val="000000" w:themeColor="text1"/>
        </w:rPr>
        <w:t xml:space="preserve"> </w:t>
      </w:r>
      <w:r w:rsidR="00335766" w:rsidRPr="00EF3A89">
        <w:t>nem részei a mintának</w:t>
      </w:r>
    </w:p>
    <w:p w14:paraId="69AB6B29" w14:textId="7F87640D" w:rsidR="009C6B4B" w:rsidRPr="00EF3A89" w:rsidRDefault="009C6B4B" w:rsidP="00A97D44">
      <w:pPr>
        <w:pStyle w:val="Default"/>
      </w:pPr>
      <w:r>
        <w:t>– a minták a leírás után a vonal alatt kez</w:t>
      </w:r>
      <w:r w:rsidR="00E774BB">
        <w:t>d</w:t>
      </w:r>
      <w:r>
        <w:t>ődnek</w:t>
      </w:r>
    </w:p>
    <w:p w14:paraId="3A3295FE" w14:textId="09BDA195" w:rsidR="00335766" w:rsidRDefault="00E774BB" w:rsidP="00335766">
      <w:pPr>
        <w:pStyle w:val="Default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C7E76" wp14:editId="6EEA340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816600" cy="0"/>
                <wp:effectExtent l="0" t="0" r="12700" b="1270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DEA9F" id="Egyenes összekötő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5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0F885893" w14:textId="5710A951" w:rsidR="00335766" w:rsidRDefault="00E75A0A" w:rsidP="00335766">
      <w:pPr>
        <w:pStyle w:val="Default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C6CAE" wp14:editId="6A222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6600" cy="0"/>
                <wp:effectExtent l="0" t="0" r="12700" b="1270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D72CD" id="Egyenes összekötő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5D74B4C6" w14:textId="5EF7A95F" w:rsidR="00701997" w:rsidRDefault="00A97D44" w:rsidP="00E75A0A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000000" w:themeColor="text1"/>
        </w:rPr>
        <w:t>1</w:t>
      </w:r>
      <w:r w:rsidR="00701997" w:rsidRPr="00EF3A89">
        <w:rPr>
          <w:b/>
          <w:bCs/>
          <w:color w:val="000000" w:themeColor="text1"/>
        </w:rPr>
        <w:t xml:space="preserve">. </w:t>
      </w:r>
      <w:r w:rsidR="00701997">
        <w:rPr>
          <w:b/>
          <w:bCs/>
          <w:color w:val="FF0000"/>
        </w:rPr>
        <w:t>TANULMÁNY:</w:t>
      </w:r>
    </w:p>
    <w:p w14:paraId="2EFC89D5" w14:textId="77777777" w:rsidR="00235CC9" w:rsidRDefault="00235CC9" w:rsidP="00822D28">
      <w:pPr>
        <w:pStyle w:val="Default"/>
        <w:rPr>
          <w:b/>
          <w:bCs/>
        </w:rPr>
      </w:pPr>
    </w:p>
    <w:p w14:paraId="36A5F438" w14:textId="022DD4FB" w:rsidR="00335766" w:rsidRPr="00235CC9" w:rsidRDefault="00701997" w:rsidP="00822D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235CC9" w:rsidRPr="00235CC9">
        <w:rPr>
          <w:rFonts w:ascii="Times New Roman" w:eastAsia="Times New Roman" w:hAnsi="Times New Roman" w:cs="Times New Roman"/>
          <w:bCs/>
          <w:sz w:val="24"/>
          <w:szCs w:val="24"/>
        </w:rPr>
        <w:t>lehetnek alcímek</w:t>
      </w:r>
    </w:p>
    <w:p w14:paraId="33504573" w14:textId="240C2464" w:rsidR="00235CC9" w:rsidRPr="00235CC9" w:rsidRDefault="00235CC9" w:rsidP="00822D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>– az alcímek alatt a bekezdésszámozás folyamatos</w:t>
      </w:r>
    </w:p>
    <w:p w14:paraId="00DCE946" w14:textId="24DA53BA" w:rsidR="00235CC9" w:rsidRPr="00235CC9" w:rsidRDefault="00235CC9" w:rsidP="00822D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>– az alcímekhez többszintű decimális számozást is lehet használni</w:t>
      </w:r>
    </w:p>
    <w:p w14:paraId="73A8E9C3" w14:textId="78549E20" w:rsidR="00235CC9" w:rsidRDefault="00235CC9" w:rsidP="00822D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D6B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>vannak lábjegyzetek – ezeknek a formátuma kötött, a mintában szereplő módon kell megjelenniük</w:t>
      </w:r>
      <w:r w:rsidR="00026AEE">
        <w:rPr>
          <w:rFonts w:ascii="Times New Roman" w:eastAsia="Times New Roman" w:hAnsi="Times New Roman" w:cs="Times New Roman"/>
          <w:bCs/>
          <w:sz w:val="24"/>
          <w:szCs w:val="24"/>
        </w:rPr>
        <w:t xml:space="preserve"> mind a döntvényeknek, mind a szakirodalmi hivatkozásoknak</w:t>
      </w:r>
    </w:p>
    <w:p w14:paraId="24D99837" w14:textId="6D083B0D" w:rsidR="00E725A2" w:rsidRPr="007E2015" w:rsidRDefault="006F6619" w:rsidP="00822D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több szerző esetén lásd a Fórum mintát</w:t>
      </w:r>
    </w:p>
    <w:p w14:paraId="50050E73" w14:textId="5DCB3DE3" w:rsidR="00E725A2" w:rsidRDefault="00E725A2" w:rsidP="00E725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szerzők nevét kurzívval kell szedni, külföldi szerző esetén a vezetéknév írandó előre utána vesszővel elválasztva a keresztnév</w:t>
      </w:r>
      <w:r w:rsidR="004D048F">
        <w:rPr>
          <w:rFonts w:ascii="Times New Roman" w:eastAsia="Times New Roman" w:hAnsi="Times New Roman" w:cs="Times New Roman"/>
          <w:bCs/>
          <w:sz w:val="24"/>
          <w:szCs w:val="24"/>
        </w:rPr>
        <w:t xml:space="preserve"> (pl. </w:t>
      </w:r>
      <w:proofErr w:type="spellStart"/>
      <w:r w:rsidR="004D048F">
        <w:rPr>
          <w:rFonts w:ascii="Times New Roman" w:eastAsia="Times New Roman" w:hAnsi="Times New Roman" w:cs="Times New Roman"/>
          <w:bCs/>
          <w:sz w:val="24"/>
          <w:szCs w:val="24"/>
        </w:rPr>
        <w:t>Stürner</w:t>
      </w:r>
      <w:proofErr w:type="spellEnd"/>
      <w:r w:rsidR="004D048F">
        <w:rPr>
          <w:rFonts w:ascii="Times New Roman" w:eastAsia="Times New Roman" w:hAnsi="Times New Roman" w:cs="Times New Roman"/>
          <w:bCs/>
          <w:sz w:val="24"/>
          <w:szCs w:val="24"/>
        </w:rPr>
        <w:t>, Rolf)</w:t>
      </w:r>
    </w:p>
    <w:p w14:paraId="0B3D4242" w14:textId="482391C0" w:rsidR="00DC245F" w:rsidRDefault="00DC245F" w:rsidP="0070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604C" wp14:editId="47C6DFB4">
                <wp:simplePos x="0" y="0"/>
                <wp:positionH relativeFrom="column">
                  <wp:posOffset>0</wp:posOffset>
                </wp:positionH>
                <wp:positionV relativeFrom="paragraph">
                  <wp:posOffset>67098</wp:posOffset>
                </wp:positionV>
                <wp:extent cx="5816600" cy="0"/>
                <wp:effectExtent l="0" t="0" r="12700" b="1270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19C69" id="Egyenes összekötő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45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5A009F62" w14:textId="77777777" w:rsidR="00ED1858" w:rsidRDefault="00ED1858" w:rsidP="00ED1858">
      <w:pPr>
        <w:pStyle w:val="FCm"/>
        <w:spacing w:before="240"/>
      </w:pPr>
      <w:r>
        <w:t>Polgári Jog 2021/9-10. - Tanulmány</w:t>
      </w:r>
    </w:p>
    <w:p w14:paraId="64EF62B1" w14:textId="77777777" w:rsidR="00ED1858" w:rsidRDefault="00ED1858" w:rsidP="00ED1858">
      <w:pPr>
        <w:pStyle w:val="FCm"/>
        <w:spacing w:before="240"/>
      </w:pPr>
      <w:r>
        <w:t>Török Soma:</w:t>
      </w:r>
      <w:r>
        <w:rPr>
          <w:vertAlign w:val="superscript"/>
        </w:rPr>
        <w:footnoteReference w:id="1"/>
      </w:r>
      <w:r>
        <w:t xml:space="preserve"> „Van, aki kénytelen, van, aki képtelen” - jogok átruházása és forgalma a Ptk. rendszerében</w:t>
      </w:r>
    </w:p>
    <w:p w14:paraId="4EAA1650" w14:textId="77777777" w:rsidR="00ED1858" w:rsidRDefault="00ED1858" w:rsidP="00ED1858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 xml:space="preserve">A jelen tanulmányban a Ptk. hatálybalépésével a tételes magyar polgári jog részévé vált jogátruházás intézményét és annak egyes kérdéseit, rész-aspektusait vizsgáljuk. Ennek során (i) említést teszünk a szűk dologfogalmat használó vagyonjogi rendszerek sajátosságairól, valamint a nem dologi természetű vagyonelemek vagyonjogi szabályozásának szükségességéről és miértjéről; (ii) röviden, a teljesség igénye nélkül felvillantjuk az alanyi jog fogalmát övező elméleti viták </w:t>
      </w:r>
      <w:proofErr w:type="spellStart"/>
      <w:r>
        <w:rPr>
          <w:i/>
          <w:iCs/>
        </w:rPr>
        <w:t>sokfókuszúságát</w:t>
      </w:r>
      <w:proofErr w:type="spellEnd"/>
      <w:r>
        <w:rPr>
          <w:i/>
          <w:iCs/>
        </w:rPr>
        <w:t xml:space="preserve">, (iii) bemutatjuk az alanyi jog és a követelés kategóriái közötti főbb összefüggéseket, valamint azt, hogy hogyan vált el fokozatosan egymástól ez a két kategória, míg végül a jogátruházás </w:t>
      </w:r>
      <w:proofErr w:type="spellStart"/>
      <w:r>
        <w:rPr>
          <w:i/>
          <w:iCs/>
        </w:rPr>
        <w:t>sui</w:t>
      </w:r>
      <w:proofErr w:type="spellEnd"/>
      <w:r>
        <w:rPr>
          <w:i/>
          <w:iCs/>
        </w:rPr>
        <w:t xml:space="preserve"> generis jogügyletként nyert szabályozást a Ptk.-ban; (iv) foglalkozunk a jogátruházás mikéntjével, a jogok átszállásának modelljével - ennek keretében pedig a tulajdonátszállás bizonyos kérdéseivel is; végül pedig (v) az alanyi jogok forgalomképességének a Ptk.-ban szereplő modelljével kapcsolatosan teszünk fel kérdéseket. Tesszük mindezt a </w:t>
      </w:r>
      <w:proofErr w:type="spellStart"/>
      <w:r>
        <w:rPr>
          <w:i/>
          <w:iCs/>
        </w:rPr>
        <w:t>Gárdos</w:t>
      </w:r>
      <w:proofErr w:type="spellEnd"/>
      <w:r>
        <w:rPr>
          <w:i/>
          <w:iCs/>
        </w:rPr>
        <w:t xml:space="preserve"> István Tanulmányíró Verseny apropóján, </w:t>
      </w:r>
      <w:proofErr w:type="spellStart"/>
      <w:r>
        <w:rPr>
          <w:i/>
          <w:iCs/>
        </w:rPr>
        <w:t>Gárdos</w:t>
      </w:r>
      <w:proofErr w:type="spellEnd"/>
      <w:r>
        <w:rPr>
          <w:i/>
          <w:iCs/>
        </w:rPr>
        <w:t xml:space="preserve"> István szellemi öröksége előtt </w:t>
      </w:r>
      <w:proofErr w:type="spellStart"/>
      <w:r>
        <w:rPr>
          <w:i/>
          <w:iCs/>
        </w:rPr>
        <w:t>kívánván</w:t>
      </w:r>
      <w:proofErr w:type="spellEnd"/>
      <w:r>
        <w:rPr>
          <w:i/>
          <w:iCs/>
        </w:rPr>
        <w:t xml:space="preserve"> tisztelegni.</w:t>
      </w:r>
    </w:p>
    <w:p w14:paraId="6E26D81F" w14:textId="77777777" w:rsidR="00ED1858" w:rsidRDefault="00ED1858" w:rsidP="00ED1858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 xml:space="preserve">Hivatkozott jogszabályhelyek: Ptk. 6:202. §, 5:3. §, 5:14. §, 5:38. §, 5:178. § (2) </w:t>
      </w:r>
      <w:proofErr w:type="spellStart"/>
      <w:r>
        <w:rPr>
          <w:i/>
          <w:iCs/>
        </w:rPr>
        <w:t>bek</w:t>
      </w:r>
      <w:proofErr w:type="spellEnd"/>
      <w:r>
        <w:rPr>
          <w:i/>
          <w:iCs/>
        </w:rPr>
        <w:t xml:space="preserve">., 6:193. §, 6:194. § (1) </w:t>
      </w:r>
      <w:proofErr w:type="spellStart"/>
      <w:r>
        <w:rPr>
          <w:i/>
          <w:iCs/>
        </w:rPr>
        <w:t>bek</w:t>
      </w:r>
      <w:proofErr w:type="spellEnd"/>
      <w:r>
        <w:rPr>
          <w:i/>
          <w:iCs/>
        </w:rPr>
        <w:t xml:space="preserve">., 8:1. § (1) </w:t>
      </w:r>
      <w:proofErr w:type="spellStart"/>
      <w:r>
        <w:rPr>
          <w:i/>
          <w:iCs/>
        </w:rPr>
        <w:t>bek</w:t>
      </w:r>
      <w:proofErr w:type="spellEnd"/>
      <w:r>
        <w:rPr>
          <w:i/>
          <w:iCs/>
        </w:rPr>
        <w:t>.</w:t>
      </w:r>
    </w:p>
    <w:p w14:paraId="633E0E07" w14:textId="77777777" w:rsidR="00ED1858" w:rsidRDefault="00ED1858" w:rsidP="00ED1858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>Címkék: jogátruházás, dolog, vagyoni forgalom, tulajdonjog-átruházás, szűk dologfogalom, alanyi jog, engedményezés, követelés, kettős ügyleti rendszer, kötelező ügylet, rendelkező ügylet, forgalomképesség, forgalomképtelenség</w:t>
      </w:r>
    </w:p>
    <w:p w14:paraId="5EAD0A9E" w14:textId="77777777" w:rsidR="00ED1858" w:rsidRDefault="00ED1858" w:rsidP="00ED1858">
      <w:pPr>
        <w:pStyle w:val="FejezetCm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 Bevezetés helyett - </w:t>
      </w:r>
      <w:proofErr w:type="spellStart"/>
      <w:r>
        <w:rPr>
          <w:sz w:val="28"/>
          <w:szCs w:val="28"/>
        </w:rPr>
        <w:t>captatio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benevolentiae</w:t>
      </w:r>
      <w:proofErr w:type="spellEnd"/>
      <w:r>
        <w:rPr>
          <w:sz w:val="28"/>
          <w:szCs w:val="28"/>
        </w:rPr>
        <w:t xml:space="preserve"> és tisztelgés</w:t>
      </w:r>
    </w:p>
    <w:p w14:paraId="2F7D34B4" w14:textId="77777777" w:rsidR="00ED1858" w:rsidRDefault="00ED1858" w:rsidP="00ED1858">
      <w:pPr>
        <w:pStyle w:val="Bekezds"/>
        <w:ind w:firstLine="204"/>
        <w:jc w:val="both"/>
      </w:pPr>
      <w:r>
        <w:t xml:space="preserve">[1] A jelen tanulmány szerzője harmadéves egyetemista volt, amikor a Polgári Törvénykönyvről szóló 2013. évi V. törvény (a továbbiakban: Ptk.) hatályba lépett; e </w:t>
      </w:r>
      <w:r>
        <w:lastRenderedPageBreak/>
        <w:t>jogtörténeti jelentőségű átmenet következésképpen nem csupán a jogalkalmazóktól és a gazdasági élet szereplőitől, de - a friss magánjogi kódex által bevezetett újítások, új jogintézmények mélyebb megismerésének igénye és szükségszerűsége okán - tőle is bizonyos többletkapacitások felszabadítását kívánta meg.</w:t>
      </w:r>
    </w:p>
    <w:p w14:paraId="715BA70B" w14:textId="77777777" w:rsidR="00ED1858" w:rsidRDefault="00ED1858" w:rsidP="00ED1858">
      <w:pPr>
        <w:pStyle w:val="Bekezds"/>
        <w:ind w:firstLine="204"/>
        <w:jc w:val="both"/>
      </w:pPr>
      <w:r>
        <w:t xml:space="preserve">[2] A szerző jól emlékszik még rá, amint </w:t>
      </w:r>
      <w:proofErr w:type="spellStart"/>
      <w:r>
        <w:t>Lábady</w:t>
      </w:r>
      <w:proofErr w:type="spellEnd"/>
      <w:r>
        <w:t xml:space="preserve"> Tamás hallgatójaként, nem sokkal a nem vagyoni kártérítés jogi konstrukciójának feltérképezésére tett kísérleteket követően ijedtséggel vegyes kitartással igyekezett elsajátítani a sérelemdíj koncepciójának lényegét, vagy amint - lévén, hogy a társasági jog anyagát is taglaló kereskedelmi jogi tanulmányok akkor még ő előtte állottak - kíváncsian figyelte a jogi személyekre vonatkozó szabályozás diszpozitív alapokra helyezése, illetve a vezető tisztségviselők harmadik személyeknek okozott károkért való felelőssége körül kibontakozó szakmai vitákat. A Polgári Törvénykönyvről szóló 1959. évi IV. törvény (a továbbiakban: 1959-es Ptk.), valamint az éppen akkor hatályba lépett Ptk. megelőlegezett egymás mellett élésére messzemenőkig figyelemmel lévő egyetemi tananyag összeállításának sajátosságaiból adódóan a szerző pedig abban a rendhagyó, mondhatni, egyszeri és megismételhetetlen helyzetben volt, hogy az adott félév során magáévá teendő polgári jogi törzsanyagnak kétszer is: mind a dologi jogi, mind a kötelmi jogi stúdiumok során részét képezte a zálogjogi szabályozás, tekintettel arra, hogy e szabályokat a jogalkotó a Ptk.-ban a dologi jogi, az 1959-es Ptk.-ban pedig a kötelmi jogi könyvben helyezte el.</w:t>
      </w:r>
    </w:p>
    <w:p w14:paraId="6424400A" w14:textId="77777777" w:rsidR="00ED1858" w:rsidRDefault="00ED1858" w:rsidP="00ED1858">
      <w:pPr>
        <w:pStyle w:val="Bekezds"/>
        <w:ind w:firstLine="204"/>
        <w:jc w:val="both"/>
      </w:pPr>
      <w:r>
        <w:t>[3] A Ptk. által bevezetett újítások között is különösen szembeötlő volt mindazonáltal a szerző számára a Ptk.-</w:t>
      </w:r>
      <w:proofErr w:type="spellStart"/>
      <w:r>
        <w:t>nak</w:t>
      </w:r>
      <w:proofErr w:type="spellEnd"/>
      <w:r>
        <w:t xml:space="preserve"> a </w:t>
      </w:r>
      <w:proofErr w:type="spellStart"/>
      <w:r>
        <w:t>fiduciárius</w:t>
      </w:r>
      <w:proofErr w:type="spellEnd"/>
      <w:r>
        <w:t xml:space="preserve"> hitelbiztosítékok semmiségéről rendelkező 6:99. §-a, ennek pedig - emlékei szerint - több oka is volt. Egyrészt, a polgári jogi alapismeretek megszerzéséhez képest, kiváltképp a zálogjogi szabályok Ptk.-ban </w:t>
      </w:r>
      <w:proofErr w:type="spellStart"/>
      <w:r>
        <w:t>újrarajzolt</w:t>
      </w:r>
      <w:proofErr w:type="spellEnd"/>
      <w:r>
        <w:t xml:space="preserve"> alapvonalaival összevetve, módfelett bonyolultnak látszott számára e sokrétű és komoly történeti múltra visszatekintő jogintézmény működési mechanizmusainak megértése (amiben lánglelkű joghallgatóként természetesen rögvest az elfogadásra váró kihívás lehetőségét látta meg), nem beszélve a kérdésről, hogy a jogalkotó miért sújtotta a semmiség szankciójával az ilyen típusú kikötéseket. Másrészt, önmagában is felkeltette érdeklődését e jogintézmény jellegzetes elnevezése, amely mintha kilógott volna a Ptk. tömörsége, műnyelvi szakszerűsége mellett is szabatos, világos, redukált és az idegen kifejezéseket kerülő, az egyszerű kifejezésmódot preferáló nyelvezetéből.</w:t>
      </w:r>
      <w:r>
        <w:rPr>
          <w:vertAlign w:val="superscript"/>
        </w:rPr>
        <w:footnoteReference w:id="2"/>
      </w:r>
      <w:r>
        <w:t xml:space="preserve"> Harmadrészt pedig, amikor - </w:t>
      </w:r>
      <w:proofErr w:type="spellStart"/>
      <w:r>
        <w:t>próbálván</w:t>
      </w:r>
      <w:proofErr w:type="spellEnd"/>
      <w:r>
        <w:t xml:space="preserve"> választ találni a benne megfogalmazódó kérdésekre, illetve </w:t>
      </w:r>
      <w:proofErr w:type="spellStart"/>
      <w:r>
        <w:t>törekedvén</w:t>
      </w:r>
      <w:proofErr w:type="spellEnd"/>
      <w:r>
        <w:t xml:space="preserve"> eleget tenni a kihívásnak, amelyet a szóban forgó jogintézmények mibenlétének, tilalmuk miértjének megértése jelentett neki - kutakodni kezdett a vonatkozó szakirodalomban, csakhamar észrevette, hogy a zálogjog és a </w:t>
      </w:r>
      <w:proofErr w:type="spellStart"/>
      <w:r>
        <w:t>fiduciárius</w:t>
      </w:r>
      <w:proofErr w:type="spellEnd"/>
      <w:r>
        <w:t xml:space="preserve"> hitelbiztosítékok Ptk.-ban történt kodifikálását a más problematikákat </w:t>
      </w:r>
      <w:proofErr w:type="spellStart"/>
      <w:r>
        <w:t>övezőkhöz</w:t>
      </w:r>
      <w:proofErr w:type="spellEnd"/>
      <w:r>
        <w:t xml:space="preserve"> képest is mennyire élénk, egyszersmind termékeny és sokszínű szakmai viták</w:t>
      </w:r>
      <w:r>
        <w:rPr>
          <w:vertAlign w:val="superscript"/>
        </w:rPr>
        <w:footnoteReference w:id="3"/>
      </w:r>
      <w:r>
        <w:t xml:space="preserve"> előzték meg (amely </w:t>
      </w:r>
      <w:r>
        <w:lastRenderedPageBreak/>
        <w:t>szakmai viták élénksége egyébiránt a Ptk. hatálybalépését követően sem látszott lankadni).</w:t>
      </w:r>
      <w:r>
        <w:rPr>
          <w:vertAlign w:val="superscript"/>
        </w:rPr>
        <w:footnoteReference w:id="4"/>
      </w:r>
      <w:r>
        <w:t xml:space="preserve"> A szerző ezen szakmai viták fölmérése során találkozott első ízben </w:t>
      </w:r>
      <w:proofErr w:type="spellStart"/>
      <w:r>
        <w:t>Gárdos</w:t>
      </w:r>
      <w:proofErr w:type="spellEnd"/>
      <w:r>
        <w:t xml:space="preserve"> István nevével.</w:t>
      </w:r>
    </w:p>
    <w:p w14:paraId="5DB9A0F7" w14:textId="3011DE81" w:rsidR="00ED1858" w:rsidRDefault="00ED1858" w:rsidP="00ED1858">
      <w:pPr>
        <w:pStyle w:val="Bekezds"/>
        <w:ind w:firstLine="204"/>
        <w:jc w:val="both"/>
      </w:pPr>
      <w:r>
        <w:t xml:space="preserve">[4] A jelen tanulmány </w:t>
      </w:r>
      <w:proofErr w:type="spellStart"/>
      <w:r>
        <w:t>apropójául</w:t>
      </w:r>
      <w:proofErr w:type="spellEnd"/>
      <w:r>
        <w:t xml:space="preserve"> szolgáló pályázati kiírás szerint szakmai pályafutása során </w:t>
      </w:r>
      <w:proofErr w:type="spellStart"/>
      <w:r>
        <w:t>Gárdos</w:t>
      </w:r>
      <w:proofErr w:type="spellEnd"/>
      <w:r>
        <w:t xml:space="preserve"> István fáradhatatlan kíváncsisággal kutatta - kutatási eredményeivel pedig fejlesztette is - a pénzügyi tárgyú ügyletek jogi és közgazdasági hátterét, és kompromisszumokat nem ismerve ragaszkodott a polgári jogi szabályozás logikai ellentmondásmentességéhez, valamint a konzekvens jogalkalmazás szükséges, ám nem elégséges feltételének tekinthető dogmatikai egyértelműséghez és tisztasághoz. </w:t>
      </w:r>
      <w:proofErr w:type="spellStart"/>
      <w:r>
        <w:t>Gárdos</w:t>
      </w:r>
      <w:proofErr w:type="spellEnd"/>
      <w:r>
        <w:t xml:space="preserve"> István ezen erényei - kritikai érzéke, logikusan felépített, </w:t>
      </w:r>
      <w:proofErr w:type="spellStart"/>
      <w:r>
        <w:t>stilisztikailag</w:t>
      </w:r>
      <w:proofErr w:type="spellEnd"/>
      <w:r>
        <w:t xml:space="preserve"> igényes módon, ugyanakkor lényegre törően bemutatott érvei, valamint a következetesség, ahogyan álláspontját a jogtudomány eredményeit is bemutatva képviselte - már akkor is feltűntek a jelen tanulmány szerzőjének, amikor - amint azt az előző bekezdésben kifejtette - a </w:t>
      </w:r>
      <w:proofErr w:type="spellStart"/>
      <w:r>
        <w:t>fiduciárius</w:t>
      </w:r>
      <w:proofErr w:type="spellEnd"/>
      <w:r>
        <w:t xml:space="preserve"> hitelbiztosítékokkal és a zálogjoggal kapcsolatos, a Ptk. kodifikációja során és hatálybalépése környékén keletkezett szakirodalommal, így </w:t>
      </w:r>
      <w:proofErr w:type="spellStart"/>
      <w:r>
        <w:t>Gárdos</w:t>
      </w:r>
      <w:proofErr w:type="spellEnd"/>
      <w:r>
        <w:t xml:space="preserve"> István írásaival is ismerkedni kezdett. A jelen tanulmány szerzője, amikor ezen intellektuális teljesítményen felbuzdulva további keresésbe kezdett, nem sokkal később </w:t>
      </w:r>
      <w:proofErr w:type="spellStart"/>
      <w:r>
        <w:t>Gárdos</w:t>
      </w:r>
      <w:proofErr w:type="spellEnd"/>
      <w:r>
        <w:t xml:space="preserve"> István - szakmai szempontokat ugyancsak érvényesíteni kívánó - közéletibb tematikájú írásaival is találkozott,</w:t>
      </w:r>
      <w:r>
        <w:rPr>
          <w:vertAlign w:val="superscript"/>
        </w:rPr>
        <w:footnoteReference w:id="5"/>
      </w:r>
      <w:r>
        <w:t xml:space="preserve"> amely írások egy sokoldalúan tájékozott, sokfelé figyelő szakember képét festették elé.</w:t>
      </w:r>
    </w:p>
    <w:p w14:paraId="3891BE26" w14:textId="6DC1F5AB" w:rsidR="00F75359" w:rsidRDefault="00F75359" w:rsidP="00F75359">
      <w:pPr>
        <w:pStyle w:val="Bekezds"/>
        <w:ind w:firstLine="0"/>
        <w:jc w:val="both"/>
      </w:pPr>
      <w:r>
        <w:t xml:space="preserve">[8] </w:t>
      </w:r>
      <w:r w:rsidR="00A16F85">
        <w:t xml:space="preserve">[…] </w:t>
      </w:r>
      <w:r>
        <w:t>Dologi jogi jogviszonyok közvetett tárgyai lehetnek következésképpen az olyan forgalomképes vagyoni jogok is, amelyek természetével ez nem ellentétes, és amelyekkel összefüggésben az egyes dologi jogok megfelelően és lényegi tartalommal értelmezhetőek.</w:t>
      </w:r>
      <w:r>
        <w:rPr>
          <w:vertAlign w:val="superscript"/>
        </w:rPr>
        <w:footnoteReference w:id="6"/>
      </w:r>
      <w:r w:rsidR="00A16F85">
        <w:t xml:space="preserve"> […]</w:t>
      </w:r>
    </w:p>
    <w:p w14:paraId="44FA98B5" w14:textId="3C110202" w:rsidR="00716554" w:rsidRDefault="00716554" w:rsidP="00F75359">
      <w:pPr>
        <w:pStyle w:val="Bekezds"/>
        <w:ind w:firstLine="0"/>
        <w:jc w:val="both"/>
      </w:pPr>
      <w:r>
        <w:t xml:space="preserve">[54] Az alanyi jog forgalomképességének bíróság általi „kiolvasztására” klasszikus példaként a know-how (jelenlegi, törvényileg is elfogadott fordítása szerint „védett ismeret”; a 80-as években az angol kifejezés magyar megfelelőjeként meghonosítani javasolt „fortély” terminus </w:t>
      </w:r>
      <w:proofErr w:type="spellStart"/>
      <w:r>
        <w:t>technicus</w:t>
      </w:r>
      <w:proofErr w:type="spellEnd"/>
      <w:r>
        <w:t xml:space="preserve"> szakmai körökben valamiért nem vert gyökeret</w:t>
      </w:r>
      <w:r>
        <w:rPr>
          <w:vertAlign w:val="superscript"/>
        </w:rPr>
        <w:footnoteReference w:id="7"/>
      </w:r>
      <w:r>
        <w:t>) hozható fel. […]</w:t>
      </w:r>
    </w:p>
    <w:p w14:paraId="7386E0B6" w14:textId="1B68BEB6" w:rsidR="00716554" w:rsidRDefault="00716554" w:rsidP="00F75359">
      <w:pPr>
        <w:pStyle w:val="Bekezds"/>
        <w:ind w:firstLine="0"/>
        <w:jc w:val="both"/>
      </w:pPr>
      <w:r>
        <w:t xml:space="preserve">[55] A Ptk. által az alanyi jogok forgalomképességéről alkotott e felfogásban az alanyi jog, de annak legalábbis bizonyos értelemben vett egyes résztulajdonságai mintha a tárgyi jog elé kerülnének, ez pedig ellentmondani látszik annak, amit az alanyi jog és a tárgyi jog kapcsán a polgári jog nézőpontjáról korábban már előadtunk, hogy ti. „[alanyi jog] alatt a polgári jogi jogviszonyokban a jogalany jogszabály által meghatározott, biztosított és védett cselekvési </w:t>
      </w:r>
      <w:r>
        <w:lastRenderedPageBreak/>
        <w:t>lehetőségét értjük.”</w:t>
      </w:r>
      <w:r>
        <w:rPr>
          <w:vertAlign w:val="superscript"/>
        </w:rPr>
        <w:footnoteReference w:id="8"/>
      </w:r>
    </w:p>
    <w:p w14:paraId="1C69061D" w14:textId="041C50A5" w:rsidR="00842376" w:rsidRDefault="00842376" w:rsidP="00F75359">
      <w:pPr>
        <w:pStyle w:val="Bekezds"/>
        <w:ind w:firstLine="0"/>
        <w:jc w:val="both"/>
      </w:pPr>
    </w:p>
    <w:p w14:paraId="4D4E6FB4" w14:textId="47045E68" w:rsidR="00842376" w:rsidRDefault="00842376" w:rsidP="00F75359">
      <w:pPr>
        <w:pStyle w:val="Bekezds"/>
        <w:ind w:firstLine="0"/>
        <w:jc w:val="both"/>
      </w:pPr>
      <w:r>
        <w:t xml:space="preserve">(Megjelent: </w:t>
      </w:r>
      <w:r w:rsidR="00DE4377">
        <w:t>Polgári Jog 2021/9-10. sz.)</w:t>
      </w:r>
    </w:p>
    <w:p w14:paraId="6A6EE412" w14:textId="77777777" w:rsidR="00ED1858" w:rsidRDefault="00ED1858" w:rsidP="00FD6B54">
      <w:pPr>
        <w:pStyle w:val="Default"/>
        <w:rPr>
          <w:b/>
          <w:bCs/>
          <w:color w:val="000000" w:themeColor="text1"/>
        </w:rPr>
      </w:pPr>
    </w:p>
    <w:p w14:paraId="38171B4F" w14:textId="6FAA1184" w:rsidR="00EB6A32" w:rsidRDefault="00EB6A32" w:rsidP="00FD6B54">
      <w:pPr>
        <w:pStyle w:val="Default"/>
        <w:rPr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49A87" wp14:editId="5292BB8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16600" cy="0"/>
                <wp:effectExtent l="0" t="0" r="12700" b="1270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1AE14" id="Egyenes összekötő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5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5117CF28" w14:textId="18ABAF45" w:rsidR="006F6DF3" w:rsidRDefault="006F6DF3" w:rsidP="00684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14DC4" wp14:editId="18B3620F">
                <wp:simplePos x="0" y="0"/>
                <wp:positionH relativeFrom="column">
                  <wp:posOffset>0</wp:posOffset>
                </wp:positionH>
                <wp:positionV relativeFrom="paragraph">
                  <wp:posOffset>67099</wp:posOffset>
                </wp:positionV>
                <wp:extent cx="5816600" cy="0"/>
                <wp:effectExtent l="0" t="0" r="12700" b="1270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12875" id="Egyenes összekötő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45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29DEB19B" w14:textId="6EA29E91" w:rsidR="00A97D44" w:rsidRDefault="00ED1858" w:rsidP="00A97D44">
      <w:pPr>
        <w:pStyle w:val="Default"/>
        <w:jc w:val="center"/>
        <w:rPr>
          <w:b/>
          <w:bCs/>
        </w:rPr>
      </w:pPr>
      <w:bookmarkStart w:id="0" w:name="_po-heading-id_cv15jAtdBkK0mK9xpjVbPQ"/>
      <w:bookmarkEnd w:id="0"/>
      <w:r>
        <w:rPr>
          <w:b/>
          <w:bCs/>
          <w:color w:val="000000" w:themeColor="text1"/>
        </w:rPr>
        <w:t>2</w:t>
      </w:r>
      <w:r w:rsidR="00A97D44" w:rsidRPr="00EF3A89">
        <w:rPr>
          <w:b/>
          <w:bCs/>
          <w:color w:val="000000" w:themeColor="text1"/>
        </w:rPr>
        <w:t xml:space="preserve">. </w:t>
      </w:r>
      <w:r w:rsidR="00A97D44" w:rsidRPr="00F5154B">
        <w:rPr>
          <w:b/>
          <w:bCs/>
          <w:color w:val="FF0000"/>
        </w:rPr>
        <w:t>DÖNTVÉNY</w:t>
      </w:r>
      <w:r w:rsidR="00A97D44">
        <w:rPr>
          <w:b/>
          <w:bCs/>
          <w:color w:val="FF0000"/>
        </w:rPr>
        <w:t>:</w:t>
      </w:r>
    </w:p>
    <w:p w14:paraId="5F504E1D" w14:textId="77777777" w:rsidR="00A97D44" w:rsidRPr="00EF3A89" w:rsidRDefault="00A97D44" w:rsidP="00A97D44">
      <w:pPr>
        <w:pStyle w:val="Default"/>
      </w:pPr>
      <w:r w:rsidRPr="00EF3A89">
        <w:t>– nincsenek lábjegyzetek</w:t>
      </w:r>
    </w:p>
    <w:p w14:paraId="26D1A154" w14:textId="77777777" w:rsidR="00A97D44" w:rsidRDefault="00A97D44" w:rsidP="00A97D44">
      <w:pPr>
        <w:pStyle w:val="Default"/>
      </w:pPr>
      <w:r w:rsidRPr="00335766">
        <w:t>– nincsenek köztescímek</w:t>
      </w:r>
    </w:p>
    <w:p w14:paraId="5326D17B" w14:textId="77777777" w:rsidR="00A97D44" w:rsidRPr="00DC245F" w:rsidRDefault="00A97D44" w:rsidP="00A97D4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771E7" wp14:editId="4B79564D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5816600" cy="0"/>
                <wp:effectExtent l="0" t="0" r="12700" b="1270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6846A" id="Egyenes összekötő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3pt" to="458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</w:p>
    <w:p w14:paraId="133F3DD8" w14:textId="77777777" w:rsidR="00A97D44" w:rsidRDefault="00A97D44" w:rsidP="00A97D44">
      <w:pPr>
        <w:pStyle w:val="FCm"/>
        <w:spacing w:before="240"/>
      </w:pPr>
      <w:r>
        <w:t>PJD2022. 1.</w:t>
      </w:r>
    </w:p>
    <w:p w14:paraId="7C3438FE" w14:textId="77777777" w:rsidR="00A97D44" w:rsidRDefault="00A97D44" w:rsidP="00A97D44">
      <w:pPr>
        <w:pStyle w:val="FCm"/>
        <w:spacing w:before="240"/>
      </w:pPr>
      <w:r>
        <w:t>Ha a beteg az elvárható gondossággal végzett vizsgálat esetén sem lett volna gyógyítható, vagy nem élt volna hosszabb ideig, akkor nem állapítható meg okozati összefüggés az egészségügyi szolgáltató felróható mulasztása, valamint a beteg betegsége és halála miatt a hozzátartozót ért személyi sérelmek és vagyoni hátrányok között.</w:t>
      </w:r>
    </w:p>
    <w:p w14:paraId="7A7B6AF2" w14:textId="77777777" w:rsidR="00A97D44" w:rsidRDefault="00A97D44" w:rsidP="00A97D44">
      <w:pPr>
        <w:pStyle w:val="Bekezds"/>
        <w:ind w:firstLine="204"/>
        <w:jc w:val="both"/>
        <w:rPr>
          <w:i/>
          <w:iCs/>
        </w:rPr>
      </w:pPr>
      <w:r>
        <w:rPr>
          <w:i/>
          <w:iCs/>
        </w:rPr>
        <w:t>Az 5-10% közötti túlélési esély olyan csekély mértékű, amely nem tekinthető reálisnak. Reális esély nélkül az esély elvesztése nem alapoz meg személyiségi jogsértésre vagy kártérítésre alapított igényt.</w:t>
      </w:r>
    </w:p>
    <w:p w14:paraId="6BC2BDB9" w14:textId="77777777" w:rsidR="00A97D44" w:rsidRDefault="00A97D44" w:rsidP="00A97D44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 xml:space="preserve">Eredeti ügyszám: </w:t>
      </w:r>
      <w:r w:rsidRPr="00AE5320">
        <w:rPr>
          <w:i/>
          <w:iCs/>
        </w:rPr>
        <w:t>Fővárosi Törvényszék 8.P.21.198/2018/65., Fővárosi Ítélőtábla 6.Pf.20.783/2020/7</w:t>
      </w:r>
    </w:p>
    <w:p w14:paraId="28F54D22" w14:textId="77777777" w:rsidR="00A97D44" w:rsidRDefault="00A97D44" w:rsidP="00A97D44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 xml:space="preserve">Alkalmazott jogszabályhelyek: </w:t>
      </w:r>
      <w:proofErr w:type="spellStart"/>
      <w:r>
        <w:rPr>
          <w:i/>
          <w:iCs/>
        </w:rPr>
        <w:t>Eütv</w:t>
      </w:r>
      <w:proofErr w:type="spellEnd"/>
      <w:r>
        <w:rPr>
          <w:i/>
          <w:iCs/>
        </w:rPr>
        <w:t>. 77. § (3) bekezdés, 244. §</w:t>
      </w:r>
    </w:p>
    <w:p w14:paraId="659CCC9E" w14:textId="77777777" w:rsidR="00A97D44" w:rsidRDefault="00A97D44" w:rsidP="00A97D44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>Címkék: egészségügyi szolgáltató felelőssége, elvárható gondosság, okozati összefüggés, esély elvesztése</w:t>
      </w:r>
    </w:p>
    <w:p w14:paraId="4B62BD3D" w14:textId="77777777" w:rsidR="00A97D44" w:rsidRDefault="00A97D44" w:rsidP="00A97D44">
      <w:pPr>
        <w:pStyle w:val="Bekezds"/>
        <w:spacing w:before="240"/>
        <w:ind w:firstLine="204"/>
        <w:jc w:val="both"/>
      </w:pPr>
      <w:r>
        <w:t>[1] A II. rendű felperes édesanyja, a korábbi I. rendű felperes (a továbbiakban: beteg) 2017. május 9-én végbéltáji panaszokkal kereste fel az alperes sebészeti ambulanciáját. A vizsgálatot végző orvos aranyeres csomókat diagnosztizált, kúp használatát írta elő, a panaszok tartós fennállása esetére pedig kivizsgálást javasolt. A beteg 2017. szeptember 19-én jelentkezett ismét vizsgálatra, mert a székletén vért látott. A részletes kivizsgálás eredményeként vastagbélrákot, valamint a májban daganatos elváltozást tártak fel. Az egészségügyi intézményben 2018. január 22-én művi úton eltávolították a beteg végbelét. A műtéti preparátumok vizsgálata daganatáttéteket mutatott ki több nyirokcsomóban, majd a további vizsgálatok áttétet mutattak ki a tüdőben is. A beteg 2019. április 11-én meghalt.</w:t>
      </w:r>
    </w:p>
    <w:p w14:paraId="26029FF5" w14:textId="77777777" w:rsidR="00A97D44" w:rsidRDefault="00A97D44" w:rsidP="00A97D44">
      <w:pPr>
        <w:pStyle w:val="Bekezds"/>
        <w:ind w:firstLine="204"/>
        <w:jc w:val="both"/>
      </w:pPr>
      <w:r>
        <w:t xml:space="preserve">[2] A felperesek sérelemdíj és kártérítés megfizetése iránt terjesztettek elő keresetet. Indokolásuk szerint az alperes 2017. május 9-én nem a kellő gondossággal, a szükséges alapossággal végezte el a beteg vizsgálatát, és nem adott megfelelő tájékoztatást arról, hogy a tüneteket milyen más betegségek okozhatják. A vizsgálatnak ki kellett volna terjednie az aranyérhez hasonló tünetekkel járó egyéb, esetleg súlyosabb betegségek feltárására vagy kizárására, a tájékoztatásnak pedig a más betegségek lehetőségére. Ha az alperes kellően gondosan járt volna el, és a kellő alapossággal végezte volna el a vizsgálatot, akkor 4-5 </w:t>
      </w:r>
      <w:r>
        <w:lastRenderedPageBreak/>
        <w:t>hónappal korábban sor kerülhetett volna a beteg részletes kivizsgálására, ennyi idővel hamarabb meg lehetett volna állapítani a betegségét, és el lehetett volna kezdeni a célzott kezelést. Az alperes által okozott időveszteség jelentősen csökkentette a beteg gyógyulási és életben maradási esélyét. Az alperes a gyógyulási és túlélési esély csökkentésével megsértette az egészséghez, a testi épséghez, a társadalmi élethez, a teljes és egészséges családban éléshez fűződő személyiségi jogaikat, valamint a II. rendű felperes munkához való jogát. Az I. rendű felperes 10 000 000 forint, a II. rendű felperes 3 000 000 forint sérelemdíj megfizetését kérte. Kártérítésként a betegség folytán felmerült költségeik megtérítésére tartottak igényt.</w:t>
      </w:r>
    </w:p>
    <w:p w14:paraId="4DBF48D4" w14:textId="77777777" w:rsidR="00A97D44" w:rsidRDefault="00A97D44" w:rsidP="00A97D44">
      <w:pPr>
        <w:pStyle w:val="Bekezds"/>
        <w:ind w:firstLine="0"/>
        <w:jc w:val="both"/>
      </w:pPr>
    </w:p>
    <w:p w14:paraId="3E59CA27" w14:textId="77777777" w:rsidR="00A97D44" w:rsidRDefault="00A97D44" w:rsidP="00A97D44">
      <w:pPr>
        <w:pStyle w:val="Bekezds"/>
        <w:ind w:firstLine="0"/>
        <w:jc w:val="both"/>
      </w:pPr>
      <w:r>
        <w:t>[…]</w:t>
      </w:r>
    </w:p>
    <w:p w14:paraId="15AD0B8B" w14:textId="77777777" w:rsidR="00A97D44" w:rsidRDefault="00A97D44" w:rsidP="00A97D44">
      <w:pPr>
        <w:pStyle w:val="Bekezds"/>
        <w:spacing w:before="240"/>
        <w:ind w:firstLine="0"/>
        <w:jc w:val="both"/>
      </w:pPr>
      <w:r>
        <w:t xml:space="preserve">Eljáró bíróság: </w:t>
      </w:r>
      <w:bookmarkStart w:id="1" w:name="_Hlk105618836"/>
      <w:r>
        <w:t>Fővárosi Törvényszék, Fővárosi Ítélőtábla</w:t>
      </w:r>
      <w:bookmarkEnd w:id="1"/>
    </w:p>
    <w:p w14:paraId="6CE7FECC" w14:textId="567D0840" w:rsidR="00A97D44" w:rsidRDefault="00A97D44" w:rsidP="00A97D44">
      <w:pPr>
        <w:pStyle w:val="Bekezds"/>
        <w:spacing w:before="240"/>
        <w:ind w:firstLine="0"/>
        <w:jc w:val="both"/>
      </w:pPr>
      <w:r>
        <w:t>Ügyszám: 8.P.21.198/2018/65., 6.Pf.20.783/2020/7.</w:t>
      </w:r>
    </w:p>
    <w:p w14:paraId="1B26C8BB" w14:textId="77777777" w:rsidR="00A97D44" w:rsidRDefault="00A97D44" w:rsidP="00A97D44">
      <w:pPr>
        <w:pStyle w:val="Default"/>
        <w:jc w:val="both"/>
      </w:pPr>
    </w:p>
    <w:p w14:paraId="39EF61B6" w14:textId="77777777" w:rsidR="00A97D44" w:rsidRPr="00976EEF" w:rsidRDefault="00A97D44" w:rsidP="00A97D44">
      <w:pPr>
        <w:pStyle w:val="Default"/>
        <w:jc w:val="both"/>
        <w:rPr>
          <w:i/>
          <w:iCs/>
        </w:rPr>
      </w:pPr>
      <w:r>
        <w:t>(Megjelent: Polgári Jog 2022/1-2.)</w:t>
      </w:r>
    </w:p>
    <w:p w14:paraId="2F844A4D" w14:textId="77777777" w:rsidR="00A97D44" w:rsidRPr="00976EEF" w:rsidRDefault="00A97D44" w:rsidP="00A97D44">
      <w:pPr>
        <w:pStyle w:val="Default"/>
        <w:jc w:val="both"/>
        <w:rPr>
          <w:i/>
          <w:iCs/>
        </w:rPr>
      </w:pPr>
    </w:p>
    <w:p w14:paraId="012334E2" w14:textId="77777777" w:rsidR="00A97D44" w:rsidRDefault="00A97D44" w:rsidP="00A97D44">
      <w:pPr>
        <w:pStyle w:val="Default"/>
        <w:jc w:val="right"/>
        <w:rPr>
          <w:i/>
          <w:iCs/>
        </w:rPr>
      </w:pPr>
      <w:r w:rsidRPr="00976EEF">
        <w:rPr>
          <w:i/>
          <w:iCs/>
        </w:rPr>
        <w:t xml:space="preserve">Szerkesztette: </w:t>
      </w:r>
      <w:r>
        <w:rPr>
          <w:i/>
          <w:iCs/>
        </w:rPr>
        <w:t>Parlagi Mátyás</w:t>
      </w:r>
    </w:p>
    <w:p w14:paraId="3EB06B76" w14:textId="77777777" w:rsidR="00A97D44" w:rsidRDefault="00A97D44" w:rsidP="00A97D44">
      <w:pPr>
        <w:pStyle w:val="Default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</w:t>
      </w:r>
    </w:p>
    <w:p w14:paraId="271B0A1A" w14:textId="2F41EBDB" w:rsidR="00684037" w:rsidRPr="006F6DF3" w:rsidRDefault="005B460D" w:rsidP="006F6D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20169" wp14:editId="2C0E278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16600" cy="0"/>
                <wp:effectExtent l="0" t="0" r="12700" b="1270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4F5FB" id="Egyenes összekötő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5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56D3EA0E" w14:textId="13768EFC" w:rsidR="00B92E7E" w:rsidRDefault="00A97D44" w:rsidP="003579BF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000000" w:themeColor="text1"/>
        </w:rPr>
        <w:t>3</w:t>
      </w:r>
      <w:r w:rsidR="00B92E7E" w:rsidRPr="00EF3A89">
        <w:rPr>
          <w:b/>
          <w:bCs/>
          <w:color w:val="000000" w:themeColor="text1"/>
        </w:rPr>
        <w:t xml:space="preserve">. </w:t>
      </w:r>
      <w:r w:rsidR="00B92E7E">
        <w:rPr>
          <w:b/>
          <w:bCs/>
          <w:color w:val="FF0000"/>
        </w:rPr>
        <w:t>FÓRUM:</w:t>
      </w:r>
    </w:p>
    <w:p w14:paraId="1AC704BD" w14:textId="77777777" w:rsidR="00B92E7E" w:rsidRDefault="00B92E7E" w:rsidP="00B92E7E">
      <w:pPr>
        <w:pStyle w:val="Default"/>
        <w:jc w:val="center"/>
        <w:rPr>
          <w:b/>
          <w:bCs/>
        </w:rPr>
      </w:pPr>
    </w:p>
    <w:p w14:paraId="600D7E7B" w14:textId="77777777" w:rsidR="00B92E7E" w:rsidRPr="00235CC9" w:rsidRDefault="00B92E7E" w:rsidP="00B92E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>– lehetnek alcímek</w:t>
      </w:r>
    </w:p>
    <w:p w14:paraId="00BA1AE4" w14:textId="77777777" w:rsidR="00B92E7E" w:rsidRPr="00235CC9" w:rsidRDefault="00B92E7E" w:rsidP="00B92E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>– az alcímek alatt a bekezdésszámozás folyamatos</w:t>
      </w:r>
    </w:p>
    <w:p w14:paraId="7EA64702" w14:textId="77777777" w:rsidR="00B92E7E" w:rsidRPr="00235CC9" w:rsidRDefault="00B92E7E" w:rsidP="00B92E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>– az alcímekhez többszintű decimális számozást is lehet használni</w:t>
      </w:r>
    </w:p>
    <w:p w14:paraId="4BFF220C" w14:textId="270224CF" w:rsidR="00B92E7E" w:rsidRDefault="00B92E7E" w:rsidP="00B92E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>–vannak lábjegyzetek – ezeknek a formátuma kötött, a mintában szereplő módon kell megjelenniük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mind a döntvényeknek, mind a szakirodalmi hivatkozásoknak</w:t>
      </w:r>
    </w:p>
    <w:p w14:paraId="184AD392" w14:textId="22B2F751" w:rsidR="006F6619" w:rsidRDefault="006F6619" w:rsidP="00B92E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Fórum cikk esetében a Tanulmány hivatkozási szabályai alkalmazandók</w:t>
      </w:r>
    </w:p>
    <w:p w14:paraId="5C46B72D" w14:textId="5FD4EFAA" w:rsidR="00E82F93" w:rsidRDefault="00E82F93" w:rsidP="00B92E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C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bírósági ítéletek hivatkozásakor fontos, hogy a Jogtár formátumot használják a lábjegyzet szerinti formátumban. Ha van szerkesztett döntvény, akkor az szerepeljen a főszövegben</w:t>
      </w:r>
      <w:r w:rsidR="00E23EF8">
        <w:rPr>
          <w:rFonts w:ascii="Times New Roman" w:eastAsia="Times New Roman" w:hAnsi="Times New Roman" w:cs="Times New Roman"/>
          <w:bCs/>
          <w:sz w:val="24"/>
          <w:szCs w:val="24"/>
        </w:rPr>
        <w:t>, vagy a lábjegyzetben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Mellette szerepelhet az eredeti ügyszám</w:t>
      </w:r>
      <w:r w:rsidR="00E23EF8">
        <w:rPr>
          <w:rFonts w:ascii="Times New Roman" w:eastAsia="Times New Roman" w:hAnsi="Times New Roman" w:cs="Times New Roman"/>
          <w:bCs/>
          <w:sz w:val="24"/>
          <w:szCs w:val="24"/>
        </w:rPr>
        <w:t xml:space="preserve"> is. Főszöveg esetén az eredeti ügyszámot zárójelbe kell tenni.</w:t>
      </w:r>
    </w:p>
    <w:p w14:paraId="18462A5D" w14:textId="619918FF" w:rsidR="00B92E7E" w:rsidRPr="003579BF" w:rsidRDefault="003579BF" w:rsidP="00357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F4D0C" wp14:editId="0AD67D7F">
                <wp:simplePos x="0" y="0"/>
                <wp:positionH relativeFrom="column">
                  <wp:posOffset>0</wp:posOffset>
                </wp:positionH>
                <wp:positionV relativeFrom="paragraph">
                  <wp:posOffset>67099</wp:posOffset>
                </wp:positionV>
                <wp:extent cx="5816600" cy="0"/>
                <wp:effectExtent l="0" t="0" r="12700" b="1270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F0DF8" id="Egyenes összekötő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45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214D63E7" w14:textId="77777777" w:rsidR="00842376" w:rsidRDefault="00842376" w:rsidP="00842376">
      <w:pPr>
        <w:pStyle w:val="FCm"/>
        <w:spacing w:before="240"/>
      </w:pPr>
      <w:r>
        <w:t>Polgári Jog 2021/11-12. - Fórum</w:t>
      </w:r>
    </w:p>
    <w:p w14:paraId="30FE664B" w14:textId="77777777" w:rsidR="00842376" w:rsidRDefault="00842376" w:rsidP="00842376">
      <w:pPr>
        <w:pStyle w:val="FCm"/>
        <w:spacing w:before="240"/>
      </w:pPr>
      <w:r>
        <w:t xml:space="preserve">Boros Ilona, </w:t>
      </w:r>
      <w:proofErr w:type="spellStart"/>
      <w:r>
        <w:t>Jovánovics</w:t>
      </w:r>
      <w:proofErr w:type="spellEnd"/>
      <w:r>
        <w:t xml:space="preserve"> Eszter</w:t>
      </w:r>
      <w:r>
        <w:rPr>
          <w:vertAlign w:val="superscript"/>
        </w:rPr>
        <w:footnoteReference w:id="9"/>
      </w:r>
      <w:r>
        <w:t xml:space="preserve">: Az állami szervek objektív személyiségi jogi felelősségét </w:t>
      </w:r>
      <w:proofErr w:type="spellStart"/>
      <w:r>
        <w:t>relativizáló</w:t>
      </w:r>
      <w:proofErr w:type="spellEnd"/>
      <w:r>
        <w:t xml:space="preserve"> joggyakorlatról</w:t>
      </w:r>
    </w:p>
    <w:p w14:paraId="2AA708C4" w14:textId="77777777" w:rsidR="00842376" w:rsidRDefault="00842376" w:rsidP="00842376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>Vitaindító írásunk témája az a bírói gyakorlat, amely az állami szerv által okozott személyiségi jogi jogsértés megállapításával kapcsolatos perekben a közigazgatási jogkörben okozott kár megtérítésével összefüggésben kialakult joggyakorlatot alkalmazza. Eszerint mérlegelési jogkörben hozott döntés esetén kirívó jogalkalmazási hiba szükséges a hatóság személyiségi jogsértésért való felelősségének megállapításához.</w:t>
      </w:r>
    </w:p>
    <w:p w14:paraId="6507FF8C" w14:textId="77777777" w:rsidR="00842376" w:rsidRDefault="00842376" w:rsidP="00842376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t>Hivatkozott jogszabályhelyek: Ptk. 2:51. § (1) bekezdés, 2:52. § (1)</w:t>
      </w:r>
      <w:r>
        <w:t>-</w:t>
      </w:r>
      <w:r>
        <w:rPr>
          <w:i/>
          <w:iCs/>
        </w:rPr>
        <w:t xml:space="preserve">(2) bekezdés, 2:53. §, 6:548. §, Alaptörvény I. cikk (1) bekezdés, Alaptörvény IV. cikk (4) bekezdés, EJEE 5. Cikk 5. pont, </w:t>
      </w:r>
      <w:proofErr w:type="spellStart"/>
      <w:r>
        <w:rPr>
          <w:i/>
          <w:iCs/>
        </w:rPr>
        <w:t>Eütv</w:t>
      </w:r>
      <w:proofErr w:type="spellEnd"/>
      <w:r>
        <w:rPr>
          <w:i/>
          <w:iCs/>
        </w:rPr>
        <w:t>. 189. § (2) bekezdés, 199. § (1) bekezdés, 189. § (5) bekezdés, 200. § (1) bekezdés</w:t>
      </w:r>
    </w:p>
    <w:p w14:paraId="7EE38E79" w14:textId="77777777" w:rsidR="00842376" w:rsidRDefault="00842376" w:rsidP="00842376">
      <w:pPr>
        <w:pStyle w:val="Bekezds"/>
        <w:spacing w:before="240"/>
        <w:ind w:firstLine="204"/>
        <w:jc w:val="both"/>
        <w:rPr>
          <w:i/>
          <w:iCs/>
        </w:rPr>
      </w:pPr>
      <w:r>
        <w:rPr>
          <w:i/>
          <w:iCs/>
        </w:rPr>
        <w:lastRenderedPageBreak/>
        <w:t>Címkék:</w:t>
      </w:r>
      <w:r>
        <w:t xml:space="preserve"> </w:t>
      </w:r>
      <w:r>
        <w:rPr>
          <w:i/>
          <w:iCs/>
        </w:rPr>
        <w:t>személyiségi jog, személyiségi jogi per, alapjog, alapjogi per, közigazgatási jogkörben okozott kár, kirívó jogalkalmazási hiba, objektív felelősség, objektív szankciók, szubjektív felelősség, sérelemdíj</w:t>
      </w:r>
    </w:p>
    <w:p w14:paraId="63FBF882" w14:textId="0DA68643" w:rsidR="00357C6D" w:rsidRDefault="00357C6D" w:rsidP="008A4AFB">
      <w:pPr>
        <w:pStyle w:val="Default"/>
        <w:jc w:val="both"/>
        <w:rPr>
          <w:i/>
          <w:iCs/>
        </w:rPr>
      </w:pPr>
    </w:p>
    <w:p w14:paraId="487980F2" w14:textId="1B7F311D" w:rsidR="00DE4377" w:rsidRDefault="00E82F93" w:rsidP="008A4AFB">
      <w:pPr>
        <w:pStyle w:val="Default"/>
        <w:jc w:val="both"/>
        <w:rPr>
          <w:i/>
          <w:iCs/>
        </w:rPr>
      </w:pPr>
      <w:r>
        <w:rPr>
          <w:i/>
          <w:iCs/>
        </w:rPr>
        <w:t>[1]</w:t>
      </w:r>
    </w:p>
    <w:p w14:paraId="798BDD6E" w14:textId="7F08BBCE" w:rsidR="00E82F93" w:rsidRDefault="00E82F93" w:rsidP="008A4AFB">
      <w:pPr>
        <w:pStyle w:val="Default"/>
        <w:jc w:val="both"/>
        <w:rPr>
          <w:i/>
          <w:iCs/>
        </w:rPr>
      </w:pPr>
      <w:r>
        <w:rPr>
          <w:i/>
          <w:iCs/>
        </w:rPr>
        <w:t>[2]</w:t>
      </w:r>
    </w:p>
    <w:p w14:paraId="0D19CC78" w14:textId="08B58610" w:rsidR="00E82F93" w:rsidRDefault="00E82F93" w:rsidP="008A4AFB">
      <w:pPr>
        <w:pStyle w:val="Default"/>
        <w:jc w:val="both"/>
        <w:rPr>
          <w:i/>
          <w:iCs/>
        </w:rPr>
      </w:pPr>
      <w:r>
        <w:rPr>
          <w:i/>
          <w:iCs/>
        </w:rPr>
        <w:t>[…]</w:t>
      </w:r>
    </w:p>
    <w:p w14:paraId="36E4C4F7" w14:textId="5D7EE61A" w:rsidR="00E82F93" w:rsidRDefault="00E82F93" w:rsidP="008A4AFB">
      <w:pPr>
        <w:pStyle w:val="Default"/>
        <w:jc w:val="both"/>
      </w:pPr>
      <w:r>
        <w:rPr>
          <w:i/>
          <w:iCs/>
        </w:rPr>
        <w:t xml:space="preserve">[6] […] </w:t>
      </w:r>
      <w:r>
        <w:t>Kivétel ez alól, “ha a jogszabály rendelkezése teljesen és nyilvánvalóan egyértelmű, a ténymegállapítás és a döntés pedig nem mérlegelés eredménye</w:t>
      </w:r>
      <w:r>
        <w:rPr>
          <w:vertAlign w:val="superscript"/>
        </w:rPr>
        <w:footnoteReference w:id="10"/>
      </w:r>
      <w:r>
        <w:t xml:space="preserve">”. Mérlegelési jogkörben hozott döntés esetén - tehát amikor a jogalkalmazás során tényállást kellett megállapítani, jogszabályokat kellett értelmezni, és ezek egybevetésével került sor a döntés meghozatalára - pedig csak a </w:t>
      </w:r>
      <w:r>
        <w:rPr>
          <w:i/>
          <w:iCs/>
        </w:rPr>
        <w:t xml:space="preserve">kirívóan súlyos </w:t>
      </w:r>
      <w:r>
        <w:t>jogalkalmazási vagy jogértelmezési tévedés alapozza meg a jogalkalmazó szerv kárfelelősségét.</w:t>
      </w:r>
      <w:r>
        <w:rPr>
          <w:vertAlign w:val="superscript"/>
        </w:rPr>
        <w:footnoteReference w:id="11"/>
      </w:r>
    </w:p>
    <w:p w14:paraId="684E6A0E" w14:textId="5938A9B3" w:rsidR="00F461AA" w:rsidRDefault="00F461AA" w:rsidP="008A4AFB">
      <w:pPr>
        <w:pStyle w:val="Default"/>
        <w:jc w:val="both"/>
      </w:pPr>
      <w:r>
        <w:t>[…]</w:t>
      </w:r>
    </w:p>
    <w:p w14:paraId="6DD31FF3" w14:textId="7B4A9089" w:rsidR="00F461AA" w:rsidRDefault="00F461AA" w:rsidP="008A4AFB">
      <w:pPr>
        <w:pStyle w:val="Default"/>
        <w:jc w:val="both"/>
      </w:pPr>
      <w:r>
        <w:t>[12] […] Az ügyben a végső döntést hozó Kúria</w:t>
      </w:r>
      <w:r>
        <w:rPr>
          <w:vertAlign w:val="superscript"/>
        </w:rPr>
        <w:footnoteReference w:id="12"/>
      </w:r>
      <w:r>
        <w:t xml:space="preserve"> is arra jutott, hogy az alsóbb fokon eljárt bíróságok helyesen alkalmazták a közigazgatási jogkörben okozott kárért fennálló felelősség megítélése körében kialakult ítélkezési gyakorlatot, amely szerint a közigazgatási szerv felelőssége csak a kirívóan súlyos jogalkalmazási tévedés vagy mulasztás esetén állapítható meg</w:t>
      </w:r>
      <w:r>
        <w:rPr>
          <w:vertAlign w:val="superscript"/>
        </w:rPr>
        <w:footnoteReference w:id="13"/>
      </w:r>
      <w:r>
        <w:t>. […]</w:t>
      </w:r>
    </w:p>
    <w:p w14:paraId="7697C7A2" w14:textId="1B472382" w:rsidR="00F461AA" w:rsidRPr="00357C6D" w:rsidRDefault="00F461AA" w:rsidP="008A4AFB">
      <w:pPr>
        <w:pStyle w:val="Default"/>
        <w:jc w:val="both"/>
        <w:rPr>
          <w:i/>
          <w:iCs/>
        </w:rPr>
      </w:pPr>
      <w:r>
        <w:t>[13] […] Tekintettel arra, hogy a beteg akarata ellenére történő kötelező pszichiátriai gyógykezelés az Emberi Jogok Európai Bírósága</w:t>
      </w:r>
      <w:r>
        <w:rPr>
          <w:vertAlign w:val="superscript"/>
        </w:rPr>
        <w:footnoteReference w:id="14"/>
      </w:r>
      <w:r>
        <w:t xml:space="preserve"> és az Alkotmánybíróság joggyakorlata</w:t>
      </w:r>
      <w:r>
        <w:rPr>
          <w:vertAlign w:val="superscript"/>
        </w:rPr>
        <w:footnoteReference w:id="15"/>
      </w:r>
      <w:r>
        <w:t xml:space="preserve"> szerint is egyértelműen korlátozza a személyes szabadsághoz való alapjogot, és tekintettel arra, hogy jogerős bírósági végzés mondta ki, hogy az elsőfokú bíróság végzése törvénysértő volt, ügyfelünk képviseletében személyiségi jogi pert indítottunk a bíróság ellen.</w:t>
      </w:r>
      <w:r w:rsidR="003339F1">
        <w:t xml:space="preserve"> </w:t>
      </w:r>
      <w:r>
        <w:t>[…]</w:t>
      </w:r>
    </w:p>
    <w:sectPr w:rsidR="00F461AA" w:rsidRPr="00357C6D" w:rsidSect="00B92E7E">
      <w:footnotePr>
        <w:numRestart w:val="eachSec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FC74" w14:textId="77777777" w:rsidR="002A076B" w:rsidRDefault="002A076B" w:rsidP="00335766">
      <w:pPr>
        <w:spacing w:after="0" w:line="240" w:lineRule="auto"/>
      </w:pPr>
      <w:r>
        <w:separator/>
      </w:r>
    </w:p>
  </w:endnote>
  <w:endnote w:type="continuationSeparator" w:id="0">
    <w:p w14:paraId="6483DF4A" w14:textId="77777777" w:rsidR="002A076B" w:rsidRDefault="002A076B" w:rsidP="0033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5B72" w14:textId="77777777" w:rsidR="002A076B" w:rsidRDefault="002A076B" w:rsidP="00335766">
      <w:pPr>
        <w:spacing w:after="0" w:line="240" w:lineRule="auto"/>
      </w:pPr>
      <w:r>
        <w:separator/>
      </w:r>
    </w:p>
  </w:footnote>
  <w:footnote w:type="continuationSeparator" w:id="0">
    <w:p w14:paraId="3419A8AF" w14:textId="77777777" w:rsidR="002A076B" w:rsidRDefault="002A076B" w:rsidP="00335766">
      <w:pPr>
        <w:spacing w:after="0" w:line="240" w:lineRule="auto"/>
      </w:pPr>
      <w:r>
        <w:continuationSeparator/>
      </w:r>
    </w:p>
  </w:footnote>
  <w:footnote w:id="1">
    <w:p w14:paraId="3560FBB2" w14:textId="77777777" w:rsidR="00ED1858" w:rsidRPr="00F75359" w:rsidRDefault="00ED1858" w:rsidP="00F75359">
      <w:pPr>
        <w:jc w:val="both"/>
        <w:rPr>
          <w:rFonts w:ascii="Times New Roman" w:hAnsi="Times New Roman" w:cs="Times New Roman"/>
          <w:sz w:val="20"/>
          <w:szCs w:val="20"/>
        </w:rPr>
      </w:pPr>
      <w:r w:rsidRPr="00F7535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/>
      </w:r>
      <w:r w:rsidRPr="00F75359">
        <w:rPr>
          <w:rFonts w:ascii="Times New Roman" w:hAnsi="Times New Roman" w:cs="Times New Roman"/>
          <w:sz w:val="20"/>
          <w:szCs w:val="20"/>
        </w:rPr>
        <w:t xml:space="preserve"> Doktorandusz, Eötvös Loránd Tudományegyetem Állam- és Jogtudományi Kar, Polgári Jogi Tanszék.</w:t>
      </w:r>
    </w:p>
  </w:footnote>
  <w:footnote w:id="2">
    <w:p w14:paraId="64A4BEF1" w14:textId="77777777" w:rsidR="00ED1858" w:rsidRPr="00ED1858" w:rsidRDefault="00ED1858" w:rsidP="00ED1858">
      <w:pPr>
        <w:jc w:val="both"/>
        <w:rPr>
          <w:rFonts w:ascii="Times New Roman" w:hAnsi="Times New Roman" w:cs="Times New Roman"/>
          <w:sz w:val="20"/>
          <w:szCs w:val="20"/>
        </w:rPr>
      </w:pPr>
      <w:r w:rsidRPr="00ED185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D1858">
        <w:rPr>
          <w:rFonts w:ascii="Times New Roman" w:hAnsi="Times New Roman" w:cs="Times New Roman"/>
          <w:sz w:val="20"/>
          <w:szCs w:val="20"/>
        </w:rPr>
        <w:t xml:space="preserve"> </w:t>
      </w:r>
      <w:r w:rsidRPr="00E23EF8">
        <w:rPr>
          <w:rFonts w:ascii="Times New Roman" w:hAnsi="Times New Roman" w:cs="Times New Roman"/>
          <w:i/>
          <w:iCs/>
          <w:sz w:val="20"/>
          <w:szCs w:val="20"/>
        </w:rPr>
        <w:t>Vékás Lajos</w:t>
      </w:r>
      <w:r w:rsidRPr="00ED1858">
        <w:rPr>
          <w:rFonts w:ascii="Times New Roman" w:hAnsi="Times New Roman" w:cs="Times New Roman"/>
          <w:sz w:val="20"/>
          <w:szCs w:val="20"/>
        </w:rPr>
        <w:t xml:space="preserve">: A kódex belső szerkezete és nyelve. In: Vékás Lajos (szerk.): A Polgári Törvénykönyv magyarázatokkal. </w:t>
      </w:r>
      <w:proofErr w:type="spellStart"/>
      <w:r w:rsidRPr="00ED1858">
        <w:rPr>
          <w:rFonts w:ascii="Times New Roman" w:hAnsi="Times New Roman" w:cs="Times New Roman"/>
          <w:sz w:val="20"/>
          <w:szCs w:val="20"/>
        </w:rPr>
        <w:t>CompLex</w:t>
      </w:r>
      <w:proofErr w:type="spellEnd"/>
      <w:r w:rsidRPr="00ED1858">
        <w:rPr>
          <w:rFonts w:ascii="Times New Roman" w:hAnsi="Times New Roman" w:cs="Times New Roman"/>
          <w:sz w:val="20"/>
          <w:szCs w:val="20"/>
        </w:rPr>
        <w:t>, Budapest, 2013, 23. o.</w:t>
      </w:r>
    </w:p>
  </w:footnote>
  <w:footnote w:id="3">
    <w:p w14:paraId="1F3E173E" w14:textId="50AD43D3" w:rsidR="00ED1858" w:rsidRPr="00ED1858" w:rsidRDefault="00ED1858" w:rsidP="00ED1858">
      <w:pPr>
        <w:jc w:val="both"/>
        <w:rPr>
          <w:rFonts w:ascii="Times New Roman" w:hAnsi="Times New Roman" w:cs="Times New Roman"/>
          <w:sz w:val="20"/>
          <w:szCs w:val="20"/>
        </w:rPr>
      </w:pPr>
      <w:r w:rsidRPr="00ED185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D1858">
        <w:rPr>
          <w:rFonts w:ascii="Times New Roman" w:hAnsi="Times New Roman" w:cs="Times New Roman"/>
          <w:sz w:val="20"/>
          <w:szCs w:val="20"/>
        </w:rPr>
        <w:t xml:space="preserve"> Lásd - egyebek mellett - pl.: </w:t>
      </w:r>
      <w:r w:rsidRPr="00E23EF8">
        <w:rPr>
          <w:rFonts w:ascii="Times New Roman" w:hAnsi="Times New Roman" w:cs="Times New Roman"/>
          <w:i/>
          <w:iCs/>
          <w:sz w:val="20"/>
          <w:szCs w:val="20"/>
        </w:rPr>
        <w:t>Csizmazia Norbert</w:t>
      </w:r>
      <w:r w:rsidRPr="00ED1858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ED1858">
        <w:rPr>
          <w:rFonts w:ascii="Times New Roman" w:hAnsi="Times New Roman" w:cs="Times New Roman"/>
          <w:sz w:val="20"/>
          <w:szCs w:val="20"/>
        </w:rPr>
        <w:t>Tulajdon</w:t>
      </w:r>
      <w:proofErr w:type="gramEnd"/>
      <w:r w:rsidRPr="00ED1858">
        <w:rPr>
          <w:rFonts w:ascii="Times New Roman" w:hAnsi="Times New Roman" w:cs="Times New Roman"/>
          <w:sz w:val="20"/>
          <w:szCs w:val="20"/>
        </w:rPr>
        <w:t xml:space="preserve"> mint biztosíték? Polgári Jogi Kodifikáció, 2004/1-2. sz., 3-22. o.; </w:t>
      </w:r>
      <w:proofErr w:type="spellStart"/>
      <w:r w:rsidRPr="00E23EF8">
        <w:rPr>
          <w:rFonts w:ascii="Times New Roman" w:hAnsi="Times New Roman" w:cs="Times New Roman"/>
          <w:i/>
          <w:iCs/>
          <w:sz w:val="20"/>
          <w:szCs w:val="20"/>
        </w:rPr>
        <w:t>Lajer</w:t>
      </w:r>
      <w:proofErr w:type="spellEnd"/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Zsolt </w:t>
      </w:r>
      <w:r w:rsidR="00E23EF8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23EF8">
        <w:rPr>
          <w:rFonts w:ascii="Times New Roman" w:hAnsi="Times New Roman" w:cs="Times New Roman"/>
          <w:i/>
          <w:iCs/>
          <w:sz w:val="20"/>
          <w:szCs w:val="20"/>
        </w:rPr>
        <w:t>Leszkoven</w:t>
      </w:r>
      <w:proofErr w:type="spellEnd"/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László</w:t>
      </w:r>
      <w:r w:rsidRPr="00ED1858">
        <w:rPr>
          <w:rFonts w:ascii="Times New Roman" w:hAnsi="Times New Roman" w:cs="Times New Roman"/>
          <w:sz w:val="20"/>
          <w:szCs w:val="20"/>
        </w:rPr>
        <w:t>: A bizalmi (</w:t>
      </w:r>
      <w:proofErr w:type="spellStart"/>
      <w:r w:rsidRPr="00ED1858">
        <w:rPr>
          <w:rFonts w:ascii="Times New Roman" w:hAnsi="Times New Roman" w:cs="Times New Roman"/>
          <w:sz w:val="20"/>
          <w:szCs w:val="20"/>
        </w:rPr>
        <w:t>fiduciárius</w:t>
      </w:r>
      <w:proofErr w:type="spellEnd"/>
      <w:r w:rsidRPr="00ED1858">
        <w:rPr>
          <w:rFonts w:ascii="Times New Roman" w:hAnsi="Times New Roman" w:cs="Times New Roman"/>
          <w:sz w:val="20"/>
          <w:szCs w:val="20"/>
        </w:rPr>
        <w:t xml:space="preserve">) biztosítékokról. Polgári Jogi Kodifikáció, 2004/1-2. sz., 23-33. o.; </w:t>
      </w:r>
      <w:proofErr w:type="spellStart"/>
      <w:r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István </w:t>
      </w:r>
      <w:r w:rsidR="00E23EF8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Péter</w:t>
      </w:r>
      <w:r w:rsidRPr="00ED1858">
        <w:rPr>
          <w:rFonts w:ascii="Times New Roman" w:hAnsi="Times New Roman" w:cs="Times New Roman"/>
          <w:sz w:val="20"/>
          <w:szCs w:val="20"/>
        </w:rPr>
        <w:t xml:space="preserve">: Van-e a </w:t>
      </w:r>
      <w:proofErr w:type="spellStart"/>
      <w:r w:rsidRPr="00ED1858">
        <w:rPr>
          <w:rFonts w:ascii="Times New Roman" w:hAnsi="Times New Roman" w:cs="Times New Roman"/>
          <w:sz w:val="20"/>
          <w:szCs w:val="20"/>
        </w:rPr>
        <w:t>fiduciárius</w:t>
      </w:r>
      <w:proofErr w:type="spellEnd"/>
      <w:r w:rsidRPr="00ED1858">
        <w:rPr>
          <w:rFonts w:ascii="Times New Roman" w:hAnsi="Times New Roman" w:cs="Times New Roman"/>
          <w:sz w:val="20"/>
          <w:szCs w:val="20"/>
        </w:rPr>
        <w:t xml:space="preserve"> biztosítékoknak helyük a magyar jogban? Polgári Jogi Kodifikáció. 2004/1-2. sz., 33-47. o.; </w:t>
      </w:r>
      <w:proofErr w:type="spellStart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István </w:t>
      </w:r>
      <w:r w:rsidR="00E725A2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Péter</w:t>
      </w:r>
      <w:r w:rsidRPr="00ED1858">
        <w:rPr>
          <w:rFonts w:ascii="Times New Roman" w:hAnsi="Times New Roman" w:cs="Times New Roman"/>
          <w:sz w:val="20"/>
          <w:szCs w:val="20"/>
        </w:rPr>
        <w:t xml:space="preserve">: Az engedményezés és a vételi jog biztosítéki célú alkalmazása. Gazdaság és Jog, 2004/4. sz., 14-19. o.; </w:t>
      </w:r>
      <w:proofErr w:type="spellStart"/>
      <w:r w:rsidRPr="00E725A2">
        <w:rPr>
          <w:rFonts w:ascii="Times New Roman" w:hAnsi="Times New Roman" w:cs="Times New Roman"/>
          <w:i/>
          <w:iCs/>
          <w:sz w:val="20"/>
          <w:szCs w:val="20"/>
        </w:rPr>
        <w:t>Leszkoven</w:t>
      </w:r>
      <w:proofErr w:type="spellEnd"/>
      <w:r w:rsidRPr="00E725A2">
        <w:rPr>
          <w:rFonts w:ascii="Times New Roman" w:hAnsi="Times New Roman" w:cs="Times New Roman"/>
          <w:i/>
          <w:iCs/>
          <w:sz w:val="20"/>
          <w:szCs w:val="20"/>
        </w:rPr>
        <w:t xml:space="preserve"> László</w:t>
      </w:r>
      <w:r w:rsidRPr="00ED1858">
        <w:rPr>
          <w:rFonts w:ascii="Times New Roman" w:hAnsi="Times New Roman" w:cs="Times New Roman"/>
          <w:sz w:val="20"/>
          <w:szCs w:val="20"/>
        </w:rPr>
        <w:t xml:space="preserve">: A biztosítéki célú vételi jog néhány kérdéséről. Gazdaság és Jog, 2004/12. sz., 16-21. o.; </w:t>
      </w:r>
      <w:proofErr w:type="spellStart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István </w:t>
      </w:r>
      <w:r w:rsidR="00E725A2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E725A2" w:rsidRPr="00E23EF8">
        <w:rPr>
          <w:rFonts w:ascii="Times New Roman" w:hAnsi="Times New Roman" w:cs="Times New Roman"/>
          <w:i/>
          <w:iCs/>
          <w:sz w:val="20"/>
          <w:szCs w:val="20"/>
        </w:rPr>
        <w:t>Péter</w:t>
      </w:r>
      <w:r w:rsidR="00E725A2" w:rsidRPr="00ED1858">
        <w:rPr>
          <w:rFonts w:ascii="Times New Roman" w:hAnsi="Times New Roman" w:cs="Times New Roman"/>
          <w:sz w:val="20"/>
          <w:szCs w:val="20"/>
        </w:rPr>
        <w:t>:</w:t>
      </w:r>
      <w:r w:rsidRPr="00ED185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ED1858">
        <w:rPr>
          <w:rFonts w:ascii="Times New Roman" w:hAnsi="Times New Roman" w:cs="Times New Roman"/>
          <w:sz w:val="20"/>
          <w:szCs w:val="20"/>
        </w:rPr>
        <w:t xml:space="preserve"> Ismét a </w:t>
      </w:r>
      <w:proofErr w:type="spellStart"/>
      <w:r w:rsidRPr="00ED1858">
        <w:rPr>
          <w:rFonts w:ascii="Times New Roman" w:hAnsi="Times New Roman" w:cs="Times New Roman"/>
          <w:sz w:val="20"/>
          <w:szCs w:val="20"/>
        </w:rPr>
        <w:t>fiduciárius</w:t>
      </w:r>
      <w:proofErr w:type="spellEnd"/>
      <w:r w:rsidRPr="00ED1858">
        <w:rPr>
          <w:rFonts w:ascii="Times New Roman" w:hAnsi="Times New Roman" w:cs="Times New Roman"/>
          <w:sz w:val="20"/>
          <w:szCs w:val="20"/>
        </w:rPr>
        <w:t xml:space="preserve"> biztosítékokról. Gazdaság és Jog, 2005/3. sz. 13-18. o.; </w:t>
      </w:r>
      <w:proofErr w:type="spellStart"/>
      <w:r w:rsidRPr="00E725A2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Pr="00E725A2">
        <w:rPr>
          <w:rFonts w:ascii="Times New Roman" w:hAnsi="Times New Roman" w:cs="Times New Roman"/>
          <w:i/>
          <w:iCs/>
          <w:sz w:val="20"/>
          <w:szCs w:val="20"/>
        </w:rPr>
        <w:t xml:space="preserve"> István:</w:t>
      </w:r>
      <w:r w:rsidRPr="00ED18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858">
        <w:rPr>
          <w:rFonts w:ascii="Times New Roman" w:hAnsi="Times New Roman" w:cs="Times New Roman"/>
          <w:sz w:val="20"/>
          <w:szCs w:val="20"/>
        </w:rPr>
        <w:t>Fiduciárius</w:t>
      </w:r>
      <w:proofErr w:type="spellEnd"/>
      <w:r w:rsidRPr="00ED1858">
        <w:rPr>
          <w:rFonts w:ascii="Times New Roman" w:hAnsi="Times New Roman" w:cs="Times New Roman"/>
          <w:sz w:val="20"/>
          <w:szCs w:val="20"/>
        </w:rPr>
        <w:t xml:space="preserve"> biztosítékok az új Polgári Törvénykönyvben. Gazdaság és Jog, 2008/7-8. sz., 17-24. o.; </w:t>
      </w:r>
      <w:proofErr w:type="spellStart"/>
      <w:r w:rsidRPr="00E725A2">
        <w:rPr>
          <w:rFonts w:ascii="Times New Roman" w:hAnsi="Times New Roman" w:cs="Times New Roman"/>
          <w:i/>
          <w:iCs/>
          <w:sz w:val="20"/>
          <w:szCs w:val="20"/>
        </w:rPr>
        <w:t>Szalóki</w:t>
      </w:r>
      <w:proofErr w:type="spellEnd"/>
      <w:r w:rsidRPr="00E725A2">
        <w:rPr>
          <w:rFonts w:ascii="Times New Roman" w:hAnsi="Times New Roman" w:cs="Times New Roman"/>
          <w:i/>
          <w:iCs/>
          <w:sz w:val="20"/>
          <w:szCs w:val="20"/>
        </w:rPr>
        <w:t xml:space="preserve"> Gergely:</w:t>
      </w:r>
      <w:r w:rsidRPr="00ED1858">
        <w:rPr>
          <w:rFonts w:ascii="Times New Roman" w:hAnsi="Times New Roman" w:cs="Times New Roman"/>
          <w:sz w:val="20"/>
          <w:szCs w:val="20"/>
        </w:rPr>
        <w:t xml:space="preserve"> A biztosítéki jog fejlődésének lehetséges irányai [online]. In: Jogelméleti Szemle, 2011/1. sz., </w:t>
      </w:r>
      <w:hyperlink r:id="rId1" w:history="1">
        <w:r w:rsidR="00E725A2" w:rsidRPr="00AF60F8">
          <w:rPr>
            <w:rStyle w:val="Hiperhivatkozs"/>
            <w:rFonts w:ascii="Times New Roman" w:hAnsi="Times New Roman" w:cs="Times New Roman"/>
            <w:sz w:val="20"/>
            <w:szCs w:val="20"/>
          </w:rPr>
          <w:t>http://jesz.ajk.elte.hu/szaloki45.html</w:t>
        </w:r>
      </w:hyperlink>
      <w:r w:rsidRPr="00ED1858">
        <w:rPr>
          <w:rFonts w:ascii="Times New Roman" w:hAnsi="Times New Roman" w:cs="Times New Roman"/>
          <w:sz w:val="20"/>
          <w:szCs w:val="20"/>
        </w:rPr>
        <w:t>.</w:t>
      </w:r>
      <w:r w:rsidR="00E725A2">
        <w:rPr>
          <w:rFonts w:ascii="Times New Roman" w:hAnsi="Times New Roman" w:cs="Times New Roman"/>
          <w:sz w:val="20"/>
          <w:szCs w:val="20"/>
        </w:rPr>
        <w:t xml:space="preserve"> (letöltve: 2021. október 1-jén)</w:t>
      </w:r>
    </w:p>
  </w:footnote>
  <w:footnote w:id="4">
    <w:p w14:paraId="2C0E6A62" w14:textId="615740AC" w:rsidR="00ED1858" w:rsidRDefault="00ED1858" w:rsidP="00ED1858">
      <w:pPr>
        <w:jc w:val="both"/>
        <w:rPr>
          <w:sz w:val="19"/>
          <w:szCs w:val="19"/>
        </w:rPr>
      </w:pPr>
      <w:r w:rsidRPr="00ED185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D1858">
        <w:rPr>
          <w:rFonts w:ascii="Times New Roman" w:hAnsi="Times New Roman" w:cs="Times New Roman"/>
          <w:sz w:val="20"/>
          <w:szCs w:val="20"/>
        </w:rPr>
        <w:t xml:space="preserve"> Lásd - egyebek mellett - pl.: </w:t>
      </w:r>
      <w:proofErr w:type="spellStart"/>
      <w:r w:rsidRPr="00E725A2">
        <w:rPr>
          <w:rFonts w:ascii="Times New Roman" w:hAnsi="Times New Roman" w:cs="Times New Roman"/>
          <w:i/>
          <w:iCs/>
          <w:sz w:val="20"/>
          <w:szCs w:val="20"/>
        </w:rPr>
        <w:t>Lajer</w:t>
      </w:r>
      <w:proofErr w:type="spellEnd"/>
      <w:r w:rsidRPr="00E725A2">
        <w:rPr>
          <w:rFonts w:ascii="Times New Roman" w:hAnsi="Times New Roman" w:cs="Times New Roman"/>
          <w:i/>
          <w:iCs/>
          <w:sz w:val="20"/>
          <w:szCs w:val="20"/>
        </w:rPr>
        <w:t xml:space="preserve"> Zsolt:</w:t>
      </w:r>
      <w:r w:rsidRPr="00ED1858">
        <w:rPr>
          <w:rFonts w:ascii="Times New Roman" w:hAnsi="Times New Roman" w:cs="Times New Roman"/>
          <w:sz w:val="20"/>
          <w:szCs w:val="20"/>
        </w:rPr>
        <w:t xml:space="preserve"> Az új Ptk. finanszírozói szempontból. Közjegyzők Közlönye, 2014/1. sz., 16-27. o.; </w:t>
      </w:r>
      <w:r w:rsidRPr="00E725A2">
        <w:rPr>
          <w:rFonts w:ascii="Times New Roman" w:hAnsi="Times New Roman" w:cs="Times New Roman"/>
          <w:i/>
          <w:iCs/>
          <w:sz w:val="20"/>
          <w:szCs w:val="20"/>
        </w:rPr>
        <w:t>Csizmazia Norbert:</w:t>
      </w:r>
      <w:r w:rsidRPr="00ED1858">
        <w:rPr>
          <w:rFonts w:ascii="Times New Roman" w:hAnsi="Times New Roman" w:cs="Times New Roman"/>
          <w:sz w:val="20"/>
          <w:szCs w:val="20"/>
        </w:rPr>
        <w:t xml:space="preserve"> A zálogjog és </w:t>
      </w:r>
      <w:proofErr w:type="spellStart"/>
      <w:r w:rsidRPr="00ED1858">
        <w:rPr>
          <w:rFonts w:ascii="Times New Roman" w:hAnsi="Times New Roman" w:cs="Times New Roman"/>
          <w:sz w:val="20"/>
          <w:szCs w:val="20"/>
        </w:rPr>
        <w:t>Ockham</w:t>
      </w:r>
      <w:proofErr w:type="spellEnd"/>
      <w:r w:rsidRPr="00ED1858">
        <w:rPr>
          <w:rFonts w:ascii="Times New Roman" w:hAnsi="Times New Roman" w:cs="Times New Roman"/>
          <w:sz w:val="20"/>
          <w:szCs w:val="20"/>
        </w:rPr>
        <w:t xml:space="preserve"> borotvája [online]. In: Polgári Jog, 2016/5. sz., </w:t>
      </w:r>
      <w:hyperlink r:id="rId2" w:history="1">
        <w:r w:rsidR="00E725A2" w:rsidRPr="00AF60F8">
          <w:rPr>
            <w:rStyle w:val="Hiperhivatkozs"/>
            <w:rFonts w:ascii="Times New Roman" w:hAnsi="Times New Roman" w:cs="Times New Roman"/>
            <w:sz w:val="20"/>
            <w:szCs w:val="20"/>
          </w:rPr>
          <w:t>https://uj.jogtar.hu/</w:t>
        </w:r>
      </w:hyperlink>
      <w:r w:rsidR="00E725A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5">
    <w:p w14:paraId="401408AB" w14:textId="77777777" w:rsidR="00ED1858" w:rsidRPr="00ED1858" w:rsidRDefault="00ED1858" w:rsidP="00ED1858">
      <w:pPr>
        <w:jc w:val="both"/>
        <w:rPr>
          <w:rFonts w:ascii="Times New Roman" w:hAnsi="Times New Roman" w:cs="Times New Roman"/>
          <w:sz w:val="20"/>
          <w:szCs w:val="20"/>
        </w:rPr>
      </w:pPr>
      <w:r w:rsidRPr="00ED185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D1858">
        <w:rPr>
          <w:rFonts w:ascii="Times New Roman" w:hAnsi="Times New Roman" w:cs="Times New Roman"/>
          <w:sz w:val="20"/>
          <w:szCs w:val="20"/>
        </w:rPr>
        <w:t xml:space="preserve"> Lásd - egyebek mellett - pl.: </w:t>
      </w:r>
      <w:proofErr w:type="spellStart"/>
      <w:r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István</w:t>
      </w:r>
      <w:r w:rsidRPr="00ED1858">
        <w:rPr>
          <w:rFonts w:ascii="Times New Roman" w:hAnsi="Times New Roman" w:cs="Times New Roman"/>
          <w:sz w:val="20"/>
          <w:szCs w:val="20"/>
        </w:rPr>
        <w:t xml:space="preserve">: Méregvasút (A metróper valódi tétje) [online]. In: Magyar Narancs [2001.07.12.]. https://magyarnarancs.hu/publicisztika/gardos_istvan_meregvasut_a_metroper_valodi_tetje-54415 (Utolsó hozzáférés: 2021. október 1.); </w:t>
      </w:r>
      <w:proofErr w:type="spellStart"/>
      <w:r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István</w:t>
      </w:r>
      <w:r w:rsidRPr="00ED1858">
        <w:rPr>
          <w:rFonts w:ascii="Times New Roman" w:hAnsi="Times New Roman" w:cs="Times New Roman"/>
          <w:sz w:val="20"/>
          <w:szCs w:val="20"/>
        </w:rPr>
        <w:t xml:space="preserve">: Lerohanás. A takarékszövetkezetek integrációja [online]. In: Magyar Narancs [2013.08.11.]. https://magyarnarancs.hu/publicisztika/takarekszovetkezetek-integracioja-gardos-istvan-85619 (Utolsó hozzáférés: 2021. október 1.); </w:t>
      </w:r>
      <w:proofErr w:type="spellStart"/>
      <w:r w:rsidRPr="00E23EF8">
        <w:rPr>
          <w:rFonts w:ascii="Times New Roman" w:hAnsi="Times New Roman" w:cs="Times New Roman"/>
          <w:i/>
          <w:iCs/>
          <w:sz w:val="20"/>
          <w:szCs w:val="20"/>
        </w:rPr>
        <w:t>Gárdos</w:t>
      </w:r>
      <w:proofErr w:type="spellEnd"/>
      <w:r w:rsidRPr="00E23EF8">
        <w:rPr>
          <w:rFonts w:ascii="Times New Roman" w:hAnsi="Times New Roman" w:cs="Times New Roman"/>
          <w:i/>
          <w:iCs/>
          <w:sz w:val="20"/>
          <w:szCs w:val="20"/>
        </w:rPr>
        <w:t xml:space="preserve"> István</w:t>
      </w:r>
      <w:r w:rsidRPr="00ED1858">
        <w:rPr>
          <w:rFonts w:ascii="Times New Roman" w:hAnsi="Times New Roman" w:cs="Times New Roman"/>
          <w:sz w:val="20"/>
          <w:szCs w:val="20"/>
        </w:rPr>
        <w:t xml:space="preserve">: Biz' isten megadom. Az államkötvények kampánya és a biztonság [online]. In: Magyar Narancs [2012.10.20.]. https://magyarnarancs.hu/publicisztika/biz-isten-megadom-81759 (Utolsó hozzáférés: 2021. október 1.] </w:t>
      </w:r>
    </w:p>
  </w:footnote>
  <w:footnote w:id="6">
    <w:p w14:paraId="10025752" w14:textId="77777777" w:rsidR="00F75359" w:rsidRPr="00E725A2" w:rsidRDefault="00F75359" w:rsidP="00F75359">
      <w:pPr>
        <w:rPr>
          <w:rFonts w:ascii="Times New Roman" w:hAnsi="Times New Roman" w:cs="Times New Roman"/>
          <w:sz w:val="20"/>
          <w:szCs w:val="20"/>
        </w:rPr>
      </w:pPr>
      <w:r w:rsidRPr="00E725A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72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25A2">
        <w:rPr>
          <w:rFonts w:ascii="Times New Roman" w:hAnsi="Times New Roman" w:cs="Times New Roman"/>
          <w:i/>
          <w:iCs/>
          <w:sz w:val="20"/>
          <w:szCs w:val="20"/>
        </w:rPr>
        <w:t>Menyhárd</w:t>
      </w:r>
      <w:proofErr w:type="spellEnd"/>
      <w:r w:rsidRPr="00E725A2">
        <w:rPr>
          <w:rFonts w:ascii="Times New Roman" w:hAnsi="Times New Roman" w:cs="Times New Roman"/>
          <w:i/>
          <w:iCs/>
          <w:sz w:val="20"/>
          <w:szCs w:val="20"/>
        </w:rPr>
        <w:t xml:space="preserve"> Attila</w:t>
      </w:r>
      <w:r w:rsidRPr="00E725A2">
        <w:rPr>
          <w:rFonts w:ascii="Times New Roman" w:hAnsi="Times New Roman" w:cs="Times New Roman"/>
          <w:sz w:val="20"/>
          <w:szCs w:val="20"/>
        </w:rPr>
        <w:t xml:space="preserve">: Dologi jog - Bevezetés. In: Vékás Lajos (szerk.): A Polgári Törvénykönyv magyarázatokkal. </w:t>
      </w:r>
      <w:proofErr w:type="spellStart"/>
      <w:r w:rsidRPr="00E725A2">
        <w:rPr>
          <w:rFonts w:ascii="Times New Roman" w:hAnsi="Times New Roman" w:cs="Times New Roman"/>
          <w:sz w:val="20"/>
          <w:szCs w:val="20"/>
        </w:rPr>
        <w:t>CompLex</w:t>
      </w:r>
      <w:proofErr w:type="spellEnd"/>
      <w:r w:rsidRPr="00E725A2">
        <w:rPr>
          <w:rFonts w:ascii="Times New Roman" w:hAnsi="Times New Roman" w:cs="Times New Roman"/>
          <w:sz w:val="20"/>
          <w:szCs w:val="20"/>
        </w:rPr>
        <w:t>, Budapest, 2013, 363. o.</w:t>
      </w:r>
    </w:p>
  </w:footnote>
  <w:footnote w:id="7">
    <w:p w14:paraId="7A02EC9D" w14:textId="57459424" w:rsidR="00716554" w:rsidRPr="00E725A2" w:rsidRDefault="00716554" w:rsidP="00716554">
      <w:pPr>
        <w:rPr>
          <w:rFonts w:ascii="Times New Roman" w:hAnsi="Times New Roman" w:cs="Times New Roman"/>
          <w:sz w:val="20"/>
          <w:szCs w:val="20"/>
        </w:rPr>
      </w:pPr>
      <w:r w:rsidRPr="00E725A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72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25A2">
        <w:rPr>
          <w:rFonts w:ascii="Times New Roman" w:hAnsi="Times New Roman" w:cs="Times New Roman"/>
          <w:i/>
          <w:iCs/>
          <w:sz w:val="20"/>
          <w:szCs w:val="20"/>
        </w:rPr>
        <w:t>Bobrovszky</w:t>
      </w:r>
      <w:proofErr w:type="spellEnd"/>
      <w:r w:rsidRPr="00E725A2">
        <w:rPr>
          <w:rFonts w:ascii="Times New Roman" w:hAnsi="Times New Roman" w:cs="Times New Roman"/>
          <w:i/>
          <w:iCs/>
          <w:sz w:val="20"/>
          <w:szCs w:val="20"/>
        </w:rPr>
        <w:t xml:space="preserve"> Jenő</w:t>
      </w:r>
      <w:r w:rsidRPr="00E725A2">
        <w:rPr>
          <w:rFonts w:ascii="Times New Roman" w:hAnsi="Times New Roman" w:cs="Times New Roman"/>
          <w:sz w:val="20"/>
          <w:szCs w:val="20"/>
        </w:rPr>
        <w:t xml:space="preserve">: Rejtélyek és fortélyok. Hozzászólás az üzleti titok és a know-how kérdésköréhez a Polgári Törvénykönyv reformja kapcsán [elektronikus </w:t>
      </w:r>
      <w:proofErr w:type="spellStart"/>
      <w:r w:rsidRPr="00E725A2">
        <w:rPr>
          <w:rFonts w:ascii="Times New Roman" w:hAnsi="Times New Roman" w:cs="Times New Roman"/>
          <w:sz w:val="20"/>
          <w:szCs w:val="20"/>
        </w:rPr>
        <w:t>dok</w:t>
      </w:r>
      <w:proofErr w:type="spellEnd"/>
      <w:r w:rsidRPr="00E725A2">
        <w:rPr>
          <w:rFonts w:ascii="Times New Roman" w:hAnsi="Times New Roman" w:cs="Times New Roman"/>
          <w:sz w:val="20"/>
          <w:szCs w:val="20"/>
        </w:rPr>
        <w:t xml:space="preserve">.]. Magyar tudomány, 2006/11. sz., 1385-1396. o., </w:t>
      </w:r>
      <w:hyperlink r:id="rId3" w:history="1">
        <w:r w:rsidRPr="00E725A2">
          <w:rPr>
            <w:rStyle w:val="Hiperhivatkozs"/>
            <w:rFonts w:ascii="Times New Roman" w:hAnsi="Times New Roman" w:cs="Times New Roman"/>
            <w:sz w:val="20"/>
            <w:szCs w:val="20"/>
          </w:rPr>
          <w:t>http://epa.oszk.hu/00600/00691/00035/pdf/EPA0691_magyar_tudomany_2006-11_1385-1396.pdf</w:t>
        </w:r>
      </w:hyperlink>
      <w:r w:rsidRPr="00E725A2">
        <w:rPr>
          <w:rFonts w:ascii="Times New Roman" w:hAnsi="Times New Roman" w:cs="Times New Roman"/>
          <w:sz w:val="20"/>
          <w:szCs w:val="20"/>
        </w:rPr>
        <w:t>. (letöltve: 2021. október 1-jén)</w:t>
      </w:r>
    </w:p>
  </w:footnote>
  <w:footnote w:id="8">
    <w:p w14:paraId="5C41BF80" w14:textId="0334056D" w:rsidR="00716554" w:rsidRPr="00E725A2" w:rsidRDefault="00716554" w:rsidP="00716554">
      <w:pPr>
        <w:rPr>
          <w:rFonts w:ascii="Times New Roman" w:hAnsi="Times New Roman" w:cs="Times New Roman"/>
          <w:sz w:val="20"/>
          <w:szCs w:val="20"/>
        </w:rPr>
      </w:pPr>
      <w:r w:rsidRPr="00E725A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E725A2">
        <w:rPr>
          <w:rFonts w:ascii="Times New Roman" w:hAnsi="Times New Roman" w:cs="Times New Roman"/>
          <w:sz w:val="20"/>
          <w:szCs w:val="20"/>
        </w:rPr>
        <w:t xml:space="preserve"> </w:t>
      </w:r>
      <w:r w:rsidRPr="00E725A2">
        <w:rPr>
          <w:rFonts w:ascii="Times New Roman" w:hAnsi="Times New Roman" w:cs="Times New Roman"/>
          <w:i/>
          <w:iCs/>
          <w:sz w:val="20"/>
          <w:szCs w:val="20"/>
        </w:rPr>
        <w:t>Gellért György</w:t>
      </w:r>
      <w:r w:rsidRPr="00E725A2">
        <w:rPr>
          <w:rFonts w:ascii="Times New Roman" w:hAnsi="Times New Roman" w:cs="Times New Roman"/>
          <w:sz w:val="20"/>
          <w:szCs w:val="20"/>
        </w:rPr>
        <w:t xml:space="preserve"> (szerk.): Nagykommentár a Polgári Törvénykönyvről szóló 1959. évi IV. törvényhez [online]. In: Jogtár. </w:t>
      </w:r>
      <w:proofErr w:type="spellStart"/>
      <w:r w:rsidRPr="00E725A2">
        <w:rPr>
          <w:rFonts w:ascii="Times New Roman" w:hAnsi="Times New Roman" w:cs="Times New Roman"/>
          <w:sz w:val="20"/>
          <w:szCs w:val="20"/>
        </w:rPr>
        <w:t>Wolters</w:t>
      </w:r>
      <w:proofErr w:type="spellEnd"/>
      <w:r w:rsidRPr="00E72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25A2">
        <w:rPr>
          <w:rFonts w:ascii="Times New Roman" w:hAnsi="Times New Roman" w:cs="Times New Roman"/>
          <w:sz w:val="20"/>
          <w:szCs w:val="20"/>
        </w:rPr>
        <w:t>Kluwer</w:t>
      </w:r>
      <w:proofErr w:type="spellEnd"/>
      <w:r w:rsidRPr="00E725A2">
        <w:rPr>
          <w:rFonts w:ascii="Times New Roman" w:hAnsi="Times New Roman" w:cs="Times New Roman"/>
          <w:sz w:val="20"/>
          <w:szCs w:val="20"/>
        </w:rPr>
        <w:t>, Budapest, 2009. (letöltve: 2021. október 1-jén).</w:t>
      </w:r>
    </w:p>
  </w:footnote>
  <w:footnote w:id="9">
    <w:p w14:paraId="7ADDB862" w14:textId="3DEFAEDB" w:rsidR="00842376" w:rsidRPr="003339F1" w:rsidRDefault="00842376" w:rsidP="00842376">
      <w:pPr>
        <w:rPr>
          <w:sz w:val="20"/>
          <w:szCs w:val="20"/>
        </w:rPr>
      </w:pPr>
      <w:r w:rsidRPr="003339F1">
        <w:rPr>
          <w:b/>
          <w:bCs/>
          <w:sz w:val="20"/>
          <w:szCs w:val="20"/>
          <w:vertAlign w:val="superscript"/>
        </w:rPr>
        <w:footnoteRef/>
      </w:r>
      <w:r w:rsidRPr="003339F1">
        <w:rPr>
          <w:sz w:val="20"/>
          <w:szCs w:val="20"/>
        </w:rPr>
        <w:t xml:space="preserve"> A szerzők jogászok, a Társaság a Szabadságjogokért jogvédő szervezet munkatársai.</w:t>
      </w:r>
    </w:p>
  </w:footnote>
  <w:footnote w:id="10">
    <w:p w14:paraId="1227595E" w14:textId="77777777" w:rsidR="00E82F93" w:rsidRPr="003339F1" w:rsidRDefault="00E82F93" w:rsidP="00E82F93">
      <w:pPr>
        <w:rPr>
          <w:rFonts w:ascii="Times New Roman" w:hAnsi="Times New Roman" w:cs="Times New Roman"/>
          <w:sz w:val="20"/>
          <w:szCs w:val="20"/>
        </w:rPr>
      </w:pPr>
      <w:r w:rsidRPr="003339F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339F1">
        <w:rPr>
          <w:rFonts w:ascii="Times New Roman" w:hAnsi="Times New Roman" w:cs="Times New Roman"/>
          <w:sz w:val="20"/>
          <w:szCs w:val="20"/>
        </w:rPr>
        <w:t xml:space="preserve"> BH2001. 423.</w:t>
      </w:r>
    </w:p>
  </w:footnote>
  <w:footnote w:id="11">
    <w:p w14:paraId="0A9C28AB" w14:textId="77777777" w:rsidR="00E82F93" w:rsidRPr="003339F1" w:rsidRDefault="00E82F93" w:rsidP="00E82F93">
      <w:pPr>
        <w:rPr>
          <w:rFonts w:ascii="Times New Roman" w:hAnsi="Times New Roman" w:cs="Times New Roman"/>
          <w:sz w:val="20"/>
          <w:szCs w:val="20"/>
        </w:rPr>
      </w:pPr>
      <w:r w:rsidRPr="003339F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339F1">
        <w:rPr>
          <w:rFonts w:ascii="Times New Roman" w:hAnsi="Times New Roman" w:cs="Times New Roman"/>
          <w:sz w:val="20"/>
          <w:szCs w:val="20"/>
        </w:rPr>
        <w:t xml:space="preserve"> BH 2009.325, Legfelsőbb Bíróság, Pfv.III.21.702/2009/6. </w:t>
      </w:r>
    </w:p>
  </w:footnote>
  <w:footnote w:id="12">
    <w:p w14:paraId="6B413417" w14:textId="77777777" w:rsidR="00F461AA" w:rsidRPr="003339F1" w:rsidRDefault="00F461AA" w:rsidP="00F461AA">
      <w:pPr>
        <w:rPr>
          <w:rFonts w:ascii="Times New Roman" w:hAnsi="Times New Roman" w:cs="Times New Roman"/>
          <w:sz w:val="20"/>
          <w:szCs w:val="20"/>
        </w:rPr>
      </w:pPr>
      <w:r w:rsidRPr="003339F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339F1">
        <w:rPr>
          <w:rFonts w:ascii="Times New Roman" w:hAnsi="Times New Roman" w:cs="Times New Roman"/>
          <w:sz w:val="20"/>
          <w:szCs w:val="20"/>
        </w:rPr>
        <w:t xml:space="preserve"> Kúria Pfv.IV.20.553/2019/8.</w:t>
      </w:r>
    </w:p>
  </w:footnote>
  <w:footnote w:id="13">
    <w:p w14:paraId="3F784A6B" w14:textId="77777777" w:rsidR="00F461AA" w:rsidRPr="003339F1" w:rsidRDefault="00F461AA" w:rsidP="00F461AA">
      <w:pPr>
        <w:rPr>
          <w:rFonts w:ascii="Times New Roman" w:hAnsi="Times New Roman" w:cs="Times New Roman"/>
          <w:sz w:val="20"/>
          <w:szCs w:val="20"/>
        </w:rPr>
      </w:pPr>
      <w:r w:rsidRPr="003339F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339F1">
        <w:rPr>
          <w:rFonts w:ascii="Times New Roman" w:hAnsi="Times New Roman" w:cs="Times New Roman"/>
          <w:sz w:val="20"/>
          <w:szCs w:val="20"/>
        </w:rPr>
        <w:t xml:space="preserve"> Kúria Pfv.IV.20.553/2019/8. [39] bekezdés</w:t>
      </w:r>
    </w:p>
  </w:footnote>
  <w:footnote w:id="14">
    <w:p w14:paraId="1BDE52C4" w14:textId="77777777" w:rsidR="00F461AA" w:rsidRPr="003339F1" w:rsidRDefault="00F461AA" w:rsidP="003339F1">
      <w:pPr>
        <w:jc w:val="both"/>
        <w:rPr>
          <w:rFonts w:ascii="Times New Roman" w:hAnsi="Times New Roman" w:cs="Times New Roman"/>
          <w:sz w:val="20"/>
          <w:szCs w:val="20"/>
        </w:rPr>
      </w:pPr>
      <w:r w:rsidRPr="003339F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339F1">
        <w:rPr>
          <w:rFonts w:ascii="Times New Roman" w:hAnsi="Times New Roman" w:cs="Times New Roman"/>
          <w:sz w:val="20"/>
          <w:szCs w:val="20"/>
        </w:rPr>
        <w:t xml:space="preserve"> pl. Emberi Jogok Európai Bírósága, </w:t>
      </w:r>
      <w:proofErr w:type="spellStart"/>
      <w:r w:rsidRPr="003339F1">
        <w:rPr>
          <w:rFonts w:ascii="Times New Roman" w:hAnsi="Times New Roman" w:cs="Times New Roman"/>
          <w:sz w:val="20"/>
          <w:szCs w:val="20"/>
        </w:rPr>
        <w:t>Plesó</w:t>
      </w:r>
      <w:proofErr w:type="spellEnd"/>
      <w:r w:rsidRPr="003339F1">
        <w:rPr>
          <w:rFonts w:ascii="Times New Roman" w:hAnsi="Times New Roman" w:cs="Times New Roman"/>
          <w:sz w:val="20"/>
          <w:szCs w:val="20"/>
        </w:rPr>
        <w:t xml:space="preserve"> v. Hungary ügyben, 2012.10.02-én hozott ítélete (</w:t>
      </w:r>
      <w:proofErr w:type="gramStart"/>
      <w:r w:rsidRPr="003339F1">
        <w:rPr>
          <w:rFonts w:ascii="Times New Roman" w:hAnsi="Times New Roman" w:cs="Times New Roman"/>
          <w:sz w:val="20"/>
          <w:szCs w:val="20"/>
        </w:rPr>
        <w:t>ECLI:CE</w:t>
      </w:r>
      <w:proofErr w:type="gramEnd"/>
      <w:r w:rsidRPr="003339F1">
        <w:rPr>
          <w:rFonts w:ascii="Times New Roman" w:hAnsi="Times New Roman" w:cs="Times New Roman"/>
          <w:sz w:val="20"/>
          <w:szCs w:val="20"/>
        </w:rPr>
        <w:t xml:space="preserve">:ECHR:2012:1002JUD004124208), Emberi Jogok Európai Bírósága, </w:t>
      </w:r>
      <w:proofErr w:type="spellStart"/>
      <w:r w:rsidRPr="003339F1">
        <w:rPr>
          <w:rFonts w:ascii="Times New Roman" w:hAnsi="Times New Roman" w:cs="Times New Roman"/>
          <w:sz w:val="20"/>
          <w:szCs w:val="20"/>
        </w:rPr>
        <w:t>Stanev</w:t>
      </w:r>
      <w:proofErr w:type="spellEnd"/>
      <w:r w:rsidRPr="003339F1">
        <w:rPr>
          <w:rFonts w:ascii="Times New Roman" w:hAnsi="Times New Roman" w:cs="Times New Roman"/>
          <w:sz w:val="20"/>
          <w:szCs w:val="20"/>
        </w:rPr>
        <w:t xml:space="preserve"> v. </w:t>
      </w:r>
      <w:proofErr w:type="spellStart"/>
      <w:r w:rsidRPr="003339F1">
        <w:rPr>
          <w:rFonts w:ascii="Times New Roman" w:hAnsi="Times New Roman" w:cs="Times New Roman"/>
          <w:sz w:val="20"/>
          <w:szCs w:val="20"/>
        </w:rPr>
        <w:t>Bulgaria</w:t>
      </w:r>
      <w:proofErr w:type="spellEnd"/>
      <w:r w:rsidRPr="003339F1">
        <w:rPr>
          <w:rFonts w:ascii="Times New Roman" w:hAnsi="Times New Roman" w:cs="Times New Roman"/>
          <w:sz w:val="20"/>
          <w:szCs w:val="20"/>
        </w:rPr>
        <w:t xml:space="preserve"> ügyben, 2012.01.17-én hozott ítélete (ECLI:CE:ECHR:2012:0117JUD003676006), Emberi Jogok Európai Bírósága D.D. v. </w:t>
      </w:r>
      <w:proofErr w:type="spellStart"/>
      <w:r w:rsidRPr="003339F1">
        <w:rPr>
          <w:rFonts w:ascii="Times New Roman" w:hAnsi="Times New Roman" w:cs="Times New Roman"/>
          <w:sz w:val="20"/>
          <w:szCs w:val="20"/>
        </w:rPr>
        <w:t>Lithuania</w:t>
      </w:r>
      <w:proofErr w:type="spellEnd"/>
      <w:r w:rsidRPr="003339F1">
        <w:rPr>
          <w:rFonts w:ascii="Times New Roman" w:hAnsi="Times New Roman" w:cs="Times New Roman"/>
          <w:sz w:val="20"/>
          <w:szCs w:val="20"/>
        </w:rPr>
        <w:t xml:space="preserve"> ügyben, 2012.02.14-én hozott ítélete (ECLI:CE:ECHR:2012:0214JUD001346906),</w:t>
      </w:r>
    </w:p>
  </w:footnote>
  <w:footnote w:id="15">
    <w:p w14:paraId="3B19F362" w14:textId="201013BF" w:rsidR="00F461AA" w:rsidRDefault="00F461AA" w:rsidP="00F461AA">
      <w:pPr>
        <w:rPr>
          <w:sz w:val="19"/>
          <w:szCs w:val="19"/>
        </w:rPr>
      </w:pPr>
      <w:r w:rsidRPr="003339F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339F1">
        <w:rPr>
          <w:rFonts w:ascii="Times New Roman" w:hAnsi="Times New Roman" w:cs="Times New Roman"/>
          <w:sz w:val="20"/>
          <w:szCs w:val="20"/>
        </w:rPr>
        <w:t xml:space="preserve"> </w:t>
      </w:r>
      <w:r w:rsidR="003339F1" w:rsidRPr="003339F1">
        <w:rPr>
          <w:rFonts w:ascii="Times New Roman" w:hAnsi="Times New Roman" w:cs="Times New Roman"/>
          <w:sz w:val="20"/>
          <w:szCs w:val="20"/>
        </w:rPr>
        <w:t xml:space="preserve">Az Alkotmánybíróság </w:t>
      </w:r>
      <w:r w:rsidRPr="003339F1">
        <w:rPr>
          <w:rFonts w:ascii="Times New Roman" w:hAnsi="Times New Roman" w:cs="Times New Roman"/>
          <w:sz w:val="20"/>
          <w:szCs w:val="20"/>
        </w:rPr>
        <w:t>36/2000. (X. 27.) AB határozat</w:t>
      </w:r>
      <w:r w:rsidR="003339F1" w:rsidRPr="003339F1">
        <w:rPr>
          <w:rFonts w:ascii="Times New Roman" w:hAnsi="Times New Roman" w:cs="Times New Roman"/>
          <w:sz w:val="20"/>
          <w:szCs w:val="20"/>
        </w:rPr>
        <w:t>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1F52"/>
    <w:multiLevelType w:val="hybridMultilevel"/>
    <w:tmpl w:val="691E3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0B4A"/>
    <w:multiLevelType w:val="hybridMultilevel"/>
    <w:tmpl w:val="1A940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407"/>
    <w:multiLevelType w:val="hybridMultilevel"/>
    <w:tmpl w:val="85B273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3786"/>
    <w:multiLevelType w:val="multilevel"/>
    <w:tmpl w:val="78B88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60455480">
    <w:abstractNumId w:val="2"/>
  </w:num>
  <w:num w:numId="2" w16cid:durableId="1024943407">
    <w:abstractNumId w:val="1"/>
  </w:num>
  <w:num w:numId="3" w16cid:durableId="1156923604">
    <w:abstractNumId w:val="0"/>
  </w:num>
  <w:num w:numId="4" w16cid:durableId="2011831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66"/>
    <w:rsid w:val="0001616F"/>
    <w:rsid w:val="00025085"/>
    <w:rsid w:val="00026AEE"/>
    <w:rsid w:val="000C01D8"/>
    <w:rsid w:val="000F366B"/>
    <w:rsid w:val="00115E6F"/>
    <w:rsid w:val="00134194"/>
    <w:rsid w:val="00181D36"/>
    <w:rsid w:val="00235CC9"/>
    <w:rsid w:val="00273004"/>
    <w:rsid w:val="002A076B"/>
    <w:rsid w:val="003339F1"/>
    <w:rsid w:val="00335766"/>
    <w:rsid w:val="003579BF"/>
    <w:rsid w:val="00357C6D"/>
    <w:rsid w:val="003E2A1A"/>
    <w:rsid w:val="00460BB5"/>
    <w:rsid w:val="004D048F"/>
    <w:rsid w:val="005A1399"/>
    <w:rsid w:val="005B460D"/>
    <w:rsid w:val="006141B4"/>
    <w:rsid w:val="00684037"/>
    <w:rsid w:val="006F6619"/>
    <w:rsid w:val="006F6DF3"/>
    <w:rsid w:val="00701997"/>
    <w:rsid w:val="00716554"/>
    <w:rsid w:val="00747631"/>
    <w:rsid w:val="007E2015"/>
    <w:rsid w:val="00822D28"/>
    <w:rsid w:val="00842376"/>
    <w:rsid w:val="00846816"/>
    <w:rsid w:val="008A4AFB"/>
    <w:rsid w:val="0095665C"/>
    <w:rsid w:val="009A0E9C"/>
    <w:rsid w:val="009C6B4B"/>
    <w:rsid w:val="009F2EC6"/>
    <w:rsid w:val="00A16F85"/>
    <w:rsid w:val="00A569C8"/>
    <w:rsid w:val="00A97D44"/>
    <w:rsid w:val="00AE5320"/>
    <w:rsid w:val="00AF6E0B"/>
    <w:rsid w:val="00B92E7E"/>
    <w:rsid w:val="00C13028"/>
    <w:rsid w:val="00C2185C"/>
    <w:rsid w:val="00CA1E31"/>
    <w:rsid w:val="00D55EE0"/>
    <w:rsid w:val="00DC245F"/>
    <w:rsid w:val="00DC2671"/>
    <w:rsid w:val="00DE4377"/>
    <w:rsid w:val="00E23EF8"/>
    <w:rsid w:val="00E27060"/>
    <w:rsid w:val="00E725A2"/>
    <w:rsid w:val="00E75A0A"/>
    <w:rsid w:val="00E774BB"/>
    <w:rsid w:val="00E82F93"/>
    <w:rsid w:val="00EB6A32"/>
    <w:rsid w:val="00ED1858"/>
    <w:rsid w:val="00F1159E"/>
    <w:rsid w:val="00F27032"/>
    <w:rsid w:val="00F461AA"/>
    <w:rsid w:val="00F75359"/>
    <w:rsid w:val="00FB658E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B5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5766"/>
    <w:pPr>
      <w:spacing w:after="160" w:line="25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33576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35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7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357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Default">
    <w:name w:val="Default"/>
    <w:rsid w:val="0033576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tandard">
    <w:name w:val="Standard"/>
    <w:rsid w:val="00335766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335766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7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766"/>
    <w:rPr>
      <w:rFonts w:ascii="Times New Roman" w:hAnsi="Times New Roman" w:cs="Times New Roman"/>
      <w:sz w:val="18"/>
      <w:szCs w:val="18"/>
    </w:rPr>
  </w:style>
  <w:style w:type="paragraph" w:styleId="Vltozat">
    <w:name w:val="Revision"/>
    <w:hidden/>
    <w:uiPriority w:val="99"/>
    <w:semiHidden/>
    <w:rsid w:val="00335766"/>
    <w:rPr>
      <w:sz w:val="22"/>
      <w:szCs w:val="22"/>
    </w:rPr>
  </w:style>
  <w:style w:type="character" w:styleId="Lbjegyzet-hivatkozs">
    <w:name w:val="footnote reference"/>
    <w:aliases w:val="Footnote reference number,Footnote symbol,note TESI,Footnote Reference in text,Ref,de nota al pie,Footnote number,callout,Marque note bas de page,Footnotes refss,FZ,Footnote Symbol,JFR-Fußnotenzeichen,*Footnote Reference"/>
    <w:basedOn w:val="Bekezdsalapbettpusa"/>
    <w:uiPriority w:val="99"/>
    <w:unhideWhenUsed/>
    <w:qFormat/>
    <w:rsid w:val="00335766"/>
    <w:rPr>
      <w:vertAlign w:val="superscript"/>
    </w:rPr>
  </w:style>
  <w:style w:type="paragraph" w:styleId="Lbjegyzetszveg">
    <w:name w:val="footnote text"/>
    <w:aliases w:val="EUMC_Lábjegyzetszöveg,Allmärkuse tekst Märk,fn,fn1,fn2,footnote text1,fn3,footnote text2,footnote text,Text pozn. pod čarou Char,Footnote Text Char Char Char Char,Footnote Text Char Char Char,Footnotes,Footnote ak,fn Char1, Char,Char"/>
    <w:basedOn w:val="Norml"/>
    <w:link w:val="LbjegyzetszvegChar"/>
    <w:uiPriority w:val="99"/>
    <w:unhideWhenUsed/>
    <w:qFormat/>
    <w:rsid w:val="00335766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aliases w:val="EUMC_Lábjegyzetszöveg Char,Allmärkuse tekst Märk Char,fn Char,fn1 Char,fn2 Char,footnote text1 Char,fn3 Char,footnote text2 Char,footnote text Char,Text pozn. pod čarou Char Char,Footnote Text Char Char Char Char Char,fn Char1 Char"/>
    <w:basedOn w:val="Bekezdsalapbettpusa"/>
    <w:link w:val="Lbjegyzetszveg"/>
    <w:uiPriority w:val="99"/>
    <w:rsid w:val="00335766"/>
    <w:rPr>
      <w:rFonts w:eastAsiaTheme="minorEastAsia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35766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335766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335766"/>
    <w:rPr>
      <w:i/>
      <w:iCs/>
    </w:rPr>
  </w:style>
  <w:style w:type="character" w:styleId="Kiemels2">
    <w:name w:val="Strong"/>
    <w:basedOn w:val="Bekezdsalapbettpusa"/>
    <w:uiPriority w:val="22"/>
    <w:qFormat/>
    <w:rsid w:val="00335766"/>
    <w:rPr>
      <w:b/>
      <w:bCs/>
    </w:rPr>
  </w:style>
  <w:style w:type="paragraph" w:customStyle="1" w:styleId="c01pointnumerotealtn">
    <w:name w:val="c01pointnumerotealtn"/>
    <w:basedOn w:val="Norml"/>
    <w:rsid w:val="0033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357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5766"/>
    <w:pPr>
      <w:spacing w:after="20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5766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7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766"/>
    <w:rPr>
      <w:rFonts w:eastAsiaTheme="minorEastAsia"/>
      <w:b/>
      <w:bCs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35766"/>
    <w:rPr>
      <w:color w:val="605E5C"/>
      <w:shd w:val="clear" w:color="auto" w:fill="E1DFDD"/>
    </w:rPr>
  </w:style>
  <w:style w:type="paragraph" w:customStyle="1" w:styleId="oj-doc-ti">
    <w:name w:val="oj-doc-ti"/>
    <w:basedOn w:val="Norml"/>
    <w:rsid w:val="0033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35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35766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335766"/>
  </w:style>
  <w:style w:type="paragraph" w:customStyle="1" w:styleId="c38centregrasgrandespacement">
    <w:name w:val="c38centregrasgrandespacement"/>
    <w:basedOn w:val="Norml"/>
    <w:rsid w:val="0033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37centregras">
    <w:name w:val="c37centregras"/>
    <w:basedOn w:val="Norml"/>
    <w:rsid w:val="0033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35766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6E0B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AF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6E0B"/>
    <w:rPr>
      <w:sz w:val="22"/>
      <w:szCs w:val="22"/>
    </w:rPr>
  </w:style>
  <w:style w:type="paragraph" w:customStyle="1" w:styleId="Bekezds">
    <w:name w:val="Bekezdés"/>
    <w:uiPriority w:val="99"/>
    <w:rsid w:val="00AE5320"/>
    <w:pPr>
      <w:widowControl w:val="0"/>
      <w:autoSpaceDE w:val="0"/>
      <w:autoSpaceDN w:val="0"/>
      <w:adjustRightInd w:val="0"/>
      <w:ind w:firstLine="202"/>
    </w:pPr>
    <w:rPr>
      <w:rFonts w:ascii="Times New Roman" w:eastAsiaTheme="minorEastAsia" w:hAnsi="Times New Roman" w:cs="Times New Roman"/>
      <w:lang w:eastAsia="hu-HU"/>
    </w:rPr>
  </w:style>
  <w:style w:type="paragraph" w:customStyle="1" w:styleId="FCm">
    <w:name w:val="FôCím"/>
    <w:uiPriority w:val="99"/>
    <w:rsid w:val="00AE5320"/>
    <w:pPr>
      <w:widowControl w:val="0"/>
      <w:autoSpaceDE w:val="0"/>
      <w:autoSpaceDN w:val="0"/>
      <w:adjustRightInd w:val="0"/>
      <w:spacing w:before="480" w:after="240"/>
      <w:jc w:val="center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A1399"/>
    <w:rPr>
      <w:color w:val="605E5C"/>
      <w:shd w:val="clear" w:color="auto" w:fill="E1DFDD"/>
    </w:rPr>
  </w:style>
  <w:style w:type="paragraph" w:customStyle="1" w:styleId="FejezetCm">
    <w:name w:val="FejezetCím"/>
    <w:uiPriority w:val="99"/>
    <w:rsid w:val="00ED1858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pa.oszk.hu/00600/00691/00035/pdf/EPA0691_magyar_tudomany_2006-11_1385-1396.pdf" TargetMode="External"/><Relationship Id="rId2" Type="http://schemas.openxmlformats.org/officeDocument/2006/relationships/hyperlink" Target="https://uj.jogtar.hu/" TargetMode="External"/><Relationship Id="rId1" Type="http://schemas.openxmlformats.org/officeDocument/2006/relationships/hyperlink" Target="http://jesz.ajk.elte.hu/szaloki45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1862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2022-06-08T21:00:00Z</dcterms:created>
  <dcterms:modified xsi:type="dcterms:W3CDTF">2022-08-24T09:24:00Z</dcterms:modified>
</cp:coreProperties>
</file>