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34C8" w14:textId="5C6431B7" w:rsidR="00992BE9" w:rsidRPr="00B914DE" w:rsidRDefault="00992BE9" w:rsidP="00992BE9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sz w:val="28"/>
          <w:szCs w:val="32"/>
        </w:rPr>
      </w:pPr>
      <w:bookmarkStart w:id="0" w:name="_Hlk149813195"/>
      <w:r>
        <w:rPr>
          <w:rFonts w:ascii="Times New Roman Bold" w:hAnsi="Times New Roman Bold" w:cs="Times New Roman"/>
          <w:b/>
          <w:bCs/>
          <w:sz w:val="28"/>
          <w:szCs w:val="32"/>
        </w:rPr>
        <w:t>Polgári Jog 2024/1</w:t>
      </w:r>
      <w:r w:rsidR="00A8738B">
        <w:rPr>
          <w:rFonts w:ascii="Times New Roman Bold" w:hAnsi="Times New Roman Bold" w:cs="Times New Roman" w:hint="eastAsia"/>
          <w:b/>
          <w:bCs/>
          <w:sz w:val="28"/>
          <w:szCs w:val="32"/>
        </w:rPr>
        <w:t>–</w:t>
      </w:r>
      <w:r>
        <w:rPr>
          <w:rFonts w:ascii="Times New Roman Bold" w:hAnsi="Times New Roman Bold" w:cs="Times New Roman"/>
          <w:b/>
          <w:bCs/>
          <w:sz w:val="28"/>
          <w:szCs w:val="32"/>
        </w:rPr>
        <w:t xml:space="preserve">2. </w:t>
      </w:r>
      <w:r w:rsidR="00A8738B">
        <w:rPr>
          <w:rFonts w:ascii="Times New Roman Bold" w:hAnsi="Times New Roman Bold" w:cs="Times New Roman" w:hint="eastAsia"/>
          <w:b/>
          <w:bCs/>
          <w:sz w:val="28"/>
          <w:szCs w:val="32"/>
        </w:rPr>
        <w:t>–</w:t>
      </w:r>
      <w:r>
        <w:rPr>
          <w:rFonts w:ascii="Times New Roman Bold" w:hAnsi="Times New Roman Bold" w:cs="Times New Roman" w:hint="eastAsia"/>
          <w:b/>
          <w:bCs/>
          <w:sz w:val="28"/>
          <w:szCs w:val="32"/>
        </w:rPr>
        <w:t xml:space="preserve"> </w:t>
      </w:r>
      <w:r w:rsidRPr="00B914DE">
        <w:rPr>
          <w:rFonts w:ascii="Times New Roman Bold" w:hAnsi="Times New Roman Bold" w:cs="Times New Roman"/>
          <w:b/>
          <w:bCs/>
          <w:sz w:val="28"/>
          <w:szCs w:val="32"/>
        </w:rPr>
        <w:t>Tanulm</w:t>
      </w:r>
      <w:r w:rsidRPr="00B914DE">
        <w:rPr>
          <w:rFonts w:ascii="Times New Roman Bold" w:hAnsi="Times New Roman Bold" w:cs="Times New Roman" w:hint="eastAsia"/>
          <w:b/>
          <w:bCs/>
          <w:sz w:val="28"/>
          <w:szCs w:val="32"/>
        </w:rPr>
        <w:t>á</w:t>
      </w:r>
      <w:r w:rsidRPr="00B914DE">
        <w:rPr>
          <w:rFonts w:ascii="Times New Roman Bold" w:hAnsi="Times New Roman Bold" w:cs="Times New Roman"/>
          <w:b/>
          <w:bCs/>
          <w:sz w:val="28"/>
          <w:szCs w:val="32"/>
        </w:rPr>
        <w:t>ny</w:t>
      </w:r>
      <w:r>
        <w:rPr>
          <w:rFonts w:ascii="Times New Roman Bold" w:hAnsi="Times New Roman Bold" w:cs="Times New Roman"/>
          <w:b/>
          <w:bCs/>
          <w:sz w:val="28"/>
          <w:szCs w:val="32"/>
        </w:rPr>
        <w:t xml:space="preserve"> </w:t>
      </w:r>
    </w:p>
    <w:bookmarkEnd w:id="0"/>
    <w:p w14:paraId="6CF8EEAF" w14:textId="0D247A6C" w:rsidR="00992BE9" w:rsidRPr="00176EF0" w:rsidRDefault="00992BE9" w:rsidP="00176EF0">
      <w:pPr>
        <w:spacing w:before="480" w:after="480" w:line="240" w:lineRule="auto"/>
        <w:jc w:val="center"/>
        <w:rPr>
          <w:rFonts w:ascii="Times New Roman Bold" w:hAnsi="Times New Roman Bold" w:cs="Times New Roman"/>
          <w:b/>
          <w:bCs/>
          <w:sz w:val="24"/>
          <w:szCs w:val="24"/>
        </w:rPr>
      </w:pP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Fejes Gábor:</w:t>
      </w:r>
      <w:r w:rsidRPr="00176EF0">
        <w:rPr>
          <w:rStyle w:val="Lbjegyzet-hivatkozs"/>
          <w:rFonts w:ascii="Times New Roman Bold" w:hAnsi="Times New Roman Bold" w:cs="Times New Roman"/>
          <w:b/>
          <w:bCs/>
          <w:sz w:val="24"/>
          <w:szCs w:val="24"/>
        </w:rPr>
        <w:footnoteReference w:id="1"/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 xml:space="preserve"> A versenyt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á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rs tag iratbetekint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é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si joga: felvet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é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 xml:space="preserve">sek a versenyjog 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é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s a t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á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rsas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á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gi jog (egyik) tal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á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lkoz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á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si pontj</w:t>
      </w:r>
      <w:r w:rsidRPr="00176EF0">
        <w:rPr>
          <w:rFonts w:ascii="Times New Roman Bold" w:hAnsi="Times New Roman Bold" w:cs="Times New Roman" w:hint="eastAsia"/>
          <w:b/>
          <w:bCs/>
          <w:sz w:val="24"/>
          <w:szCs w:val="24"/>
        </w:rPr>
        <w:t>á</w:t>
      </w:r>
      <w:r w:rsidRPr="00176EF0">
        <w:rPr>
          <w:rFonts w:ascii="Times New Roman Bold" w:hAnsi="Times New Roman Bold" w:cs="Times New Roman"/>
          <w:b/>
          <w:bCs/>
          <w:sz w:val="24"/>
          <w:szCs w:val="24"/>
        </w:rPr>
        <w:t>n</w:t>
      </w:r>
      <w:r w:rsidRPr="00176EF0">
        <w:rPr>
          <w:rStyle w:val="Lbjegyzet-hivatkozs"/>
          <w:rFonts w:ascii="Times New Roman Bold" w:hAnsi="Times New Roman Bold" w:cs="Times New Roman"/>
          <w:b/>
          <w:bCs/>
          <w:sz w:val="24"/>
          <w:szCs w:val="24"/>
        </w:rPr>
        <w:footnoteReference w:id="2"/>
      </w:r>
    </w:p>
    <w:p w14:paraId="306BA0AF" w14:textId="5C315A3C" w:rsidR="00992BE9" w:rsidRDefault="00992BE9" w:rsidP="00992BE9">
      <w:pPr>
        <w:pStyle w:val="Bekezds"/>
        <w:spacing w:before="240"/>
        <w:ind w:firstLine="204"/>
        <w:jc w:val="both"/>
        <w:rPr>
          <w:i/>
          <w:iCs/>
        </w:rPr>
      </w:pPr>
      <w:r w:rsidRPr="00AA3128">
        <w:rPr>
          <w:i/>
          <w:iCs/>
        </w:rPr>
        <w:t>A jelen tanulm</w:t>
      </w:r>
      <w:r w:rsidRPr="00AA3128">
        <w:rPr>
          <w:rFonts w:hint="eastAsia"/>
          <w:i/>
          <w:iCs/>
        </w:rPr>
        <w:t>á</w:t>
      </w:r>
      <w:r w:rsidRPr="00AA3128">
        <w:rPr>
          <w:i/>
          <w:iCs/>
        </w:rPr>
        <w:t>ny</w:t>
      </w:r>
      <w:r>
        <w:rPr>
          <w:i/>
          <w:iCs/>
        </w:rPr>
        <w:t xml:space="preserve"> azt a kérdést vizsgálja, hogy az uniós és a magyar (</w:t>
      </w:r>
      <w:proofErr w:type="spellStart"/>
      <w:r>
        <w:rPr>
          <w:i/>
          <w:iCs/>
        </w:rPr>
        <w:t>antitröszt</w:t>
      </w:r>
      <w:proofErr w:type="spellEnd"/>
      <w:r>
        <w:rPr>
          <w:i/>
          <w:iCs/>
        </w:rPr>
        <w:t xml:space="preserve">) versenyjog (gazdasági közjogi) tilalmai </w:t>
      </w:r>
      <w:r w:rsidR="008F45A2">
        <w:rPr>
          <w:i/>
          <w:iCs/>
        </w:rPr>
        <w:t>–</w:t>
      </w:r>
      <w:r>
        <w:rPr>
          <w:i/>
          <w:iCs/>
        </w:rPr>
        <w:t xml:space="preserve"> a hazai gyakorlat alapján és egyes külföldi jogfejlődési példák fényében </w:t>
      </w:r>
      <w:r w:rsidR="008F45A2">
        <w:rPr>
          <w:i/>
          <w:iCs/>
        </w:rPr>
        <w:t>–</w:t>
      </w:r>
      <w:r>
        <w:rPr>
          <w:i/>
          <w:iCs/>
        </w:rPr>
        <w:t xml:space="preserve"> mennyiben képezhetik korlátját egyes, a társasági jogban szabályozott tagsági alanyi jogok gyakorlásának, így különösen is annak, hogy egy versenytárs tag a verseny szempontjából érzékeny információkat szerezzen meg riválisáról (és riválisá</w:t>
      </w:r>
      <w:r w:rsidRPr="008F45A2">
        <w:rPr>
          <w:i/>
          <w:iCs/>
        </w:rPr>
        <w:t>tól</w:t>
      </w:r>
      <w:r>
        <w:rPr>
          <w:i/>
          <w:iCs/>
        </w:rPr>
        <w:t>)</w:t>
      </w:r>
      <w:r w:rsidR="00A8738B">
        <w:rPr>
          <w:i/>
          <w:iCs/>
        </w:rPr>
        <w:t>,</w:t>
      </w:r>
      <w:r>
        <w:rPr>
          <w:i/>
          <w:iCs/>
        </w:rPr>
        <w:t xml:space="preserve"> tagi iratbetekintési vagy felvilágosítás kérési jogaival élve. Az egyik fontos megállapítás, hogy a közérdekvédelmi versenyjogi szabályokat a jellemzően törvényességi felügyeleti eljárások eredményeként alakuló bírói gyakorlat eddig teljesen figyelmen kívül hagyta, teret adva egyrészt versenytársak közötti összejátszást elősegítő információátadásnak, illetve érdemben nem akadályozva a társaság üzleti titkainak rivális tag általi megismerését.</w:t>
      </w:r>
    </w:p>
    <w:p w14:paraId="2C002A33" w14:textId="4039A27E" w:rsidR="00992BE9" w:rsidRDefault="00992BE9" w:rsidP="00992BE9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>Hivatkozott jogszabályhelyek: Ptk. 1:2</w:t>
      </w:r>
      <w:r w:rsidR="008F45A2">
        <w:rPr>
          <w:i/>
          <w:iCs/>
        </w:rPr>
        <w:t>.</w:t>
      </w:r>
      <w:r>
        <w:rPr>
          <w:i/>
          <w:iCs/>
        </w:rPr>
        <w:t xml:space="preserve"> §, 3:23</w:t>
      </w:r>
      <w:r w:rsidR="008F45A2">
        <w:rPr>
          <w:i/>
          <w:iCs/>
        </w:rPr>
        <w:t>.</w:t>
      </w:r>
      <w:r>
        <w:rPr>
          <w:i/>
          <w:iCs/>
        </w:rPr>
        <w:t xml:space="preserve"> §, 3:50</w:t>
      </w:r>
      <w:r w:rsidR="008F45A2">
        <w:rPr>
          <w:i/>
          <w:iCs/>
        </w:rPr>
        <w:t>.</w:t>
      </w:r>
      <w:r>
        <w:rPr>
          <w:i/>
          <w:iCs/>
        </w:rPr>
        <w:t xml:space="preserve"> §, 3:104</w:t>
      </w:r>
      <w:r w:rsidR="008F45A2">
        <w:rPr>
          <w:i/>
          <w:iCs/>
        </w:rPr>
        <w:t>.</w:t>
      </w:r>
      <w:r>
        <w:rPr>
          <w:i/>
          <w:iCs/>
        </w:rPr>
        <w:t xml:space="preserve"> §, 3:324</w:t>
      </w:r>
      <w:r w:rsidR="008F45A2">
        <w:rPr>
          <w:i/>
          <w:iCs/>
        </w:rPr>
        <w:t xml:space="preserve">. </w:t>
      </w:r>
      <w:r>
        <w:rPr>
          <w:i/>
          <w:iCs/>
        </w:rPr>
        <w:t>§, 6:2</w:t>
      </w:r>
      <w:r w:rsidR="008F45A2">
        <w:rPr>
          <w:i/>
          <w:iCs/>
        </w:rPr>
        <w:t>.</w:t>
      </w:r>
      <w:r>
        <w:rPr>
          <w:i/>
          <w:iCs/>
        </w:rPr>
        <w:t xml:space="preserve"> §, 6:95</w:t>
      </w:r>
      <w:r w:rsidR="008F45A2">
        <w:rPr>
          <w:i/>
          <w:iCs/>
        </w:rPr>
        <w:t>.</w:t>
      </w:r>
      <w:r>
        <w:rPr>
          <w:i/>
          <w:iCs/>
        </w:rPr>
        <w:t xml:space="preserve"> §</w:t>
      </w:r>
      <w:r w:rsidR="00A8738B">
        <w:rPr>
          <w:i/>
          <w:iCs/>
        </w:rPr>
        <w:t>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EUMSz</w:t>
      </w:r>
      <w:proofErr w:type="spellEnd"/>
      <w:r>
        <w:rPr>
          <w:i/>
          <w:iCs/>
        </w:rPr>
        <w:t>. 101. cikk, 102. cikk</w:t>
      </w:r>
      <w:r w:rsidR="00A8738B">
        <w:rPr>
          <w:i/>
          <w:iCs/>
        </w:rPr>
        <w:t>;</w:t>
      </w:r>
      <w:r>
        <w:rPr>
          <w:i/>
          <w:iCs/>
        </w:rPr>
        <w:t xml:space="preserve"> Tpvt. 1. §, 11. §, 21. §, 88/D §, 93. §</w:t>
      </w:r>
    </w:p>
    <w:p w14:paraId="1D5FAB17" w14:textId="77777777" w:rsidR="00992BE9" w:rsidRPr="00626FF4" w:rsidRDefault="00992BE9" w:rsidP="00992BE9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 xml:space="preserve">Címkék: </w:t>
      </w:r>
      <w:proofErr w:type="spellStart"/>
      <w:r>
        <w:rPr>
          <w:i/>
          <w:iCs/>
        </w:rPr>
        <w:t>antitröszt</w:t>
      </w:r>
      <w:proofErr w:type="spellEnd"/>
      <w:r>
        <w:rPr>
          <w:i/>
          <w:iCs/>
        </w:rPr>
        <w:t xml:space="preserve"> versenyjog, tisztességtelen verseny, a versenytárs tagi jogviszonya a gazdasági társaságban, versenykorlátozó megállapodás és összehangolt magatartás, üzleti titok, a verseny szempontjából érzékeny információ átadása, iratbetekintés, felvilágosítás adása, az iratbetekintés megtagadása, törvényességi felügyeleti eljárás</w:t>
      </w:r>
    </w:p>
    <w:p w14:paraId="1D0C83BC" w14:textId="77777777" w:rsidR="00992BE9" w:rsidRDefault="00992BE9" w:rsidP="00992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673EE" w14:textId="4EC9A01F" w:rsidR="00992BE9" w:rsidRPr="00176EF0" w:rsidRDefault="00992BE9" w:rsidP="00176EF0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Bevezetés</w:t>
      </w:r>
    </w:p>
    <w:p w14:paraId="1AFE447E" w14:textId="0D2879D4" w:rsidR="00992BE9" w:rsidRPr="00FA04B4" w:rsidRDefault="00992BE9" w:rsidP="009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DE">
        <w:rPr>
          <w:rFonts w:ascii="Times New Roman" w:hAnsi="Times New Roman" w:cs="Times New Roman"/>
          <w:sz w:val="24"/>
          <w:szCs w:val="24"/>
        </w:rPr>
        <w:t xml:space="preserve">[1] </w:t>
      </w:r>
      <w:r w:rsidRPr="00FA04B4">
        <w:rPr>
          <w:rFonts w:ascii="Times New Roman" w:hAnsi="Times New Roman" w:cs="Times New Roman"/>
          <w:sz w:val="24"/>
          <w:szCs w:val="24"/>
        </w:rPr>
        <w:t>„A társaságok nem jogi találmányok”</w:t>
      </w:r>
      <w:r w:rsidR="00A8738B">
        <w:rPr>
          <w:rFonts w:ascii="Times New Roman" w:hAnsi="Times New Roman" w:cs="Times New Roman"/>
          <w:sz w:val="24"/>
          <w:szCs w:val="24"/>
        </w:rPr>
        <w:t>.</w:t>
      </w:r>
      <w:r w:rsidRPr="00FA04B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FA04B4">
        <w:rPr>
          <w:rFonts w:ascii="Times New Roman" w:hAnsi="Times New Roman" w:cs="Times New Roman"/>
          <w:sz w:val="24"/>
          <w:szCs w:val="24"/>
        </w:rPr>
        <w:t xml:space="preserve"> Azokat a közös gazdálkodás igénye hívta életre, melyhez – egyebek mellett – hasznos volt a magánhasználatú vagyontól elhatárolni az üzleti célú (és ekként üzleti kockázatoknak kitett) vagyont. Az így elhatárolt célvagyon, majd a jogi fikció nyomán keletkezett jogalany (a társaság) gyarapodásának színtere pedig: a piac. A piacon pedig – általában – verseny zajlik. E piaci verseny sem a jog a találmánya, hanem a jogi szabályozás tárgyát képező társadalmi-gazdasági jelenség, elsősorban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A04B4">
        <w:rPr>
          <w:rFonts w:ascii="Times New Roman" w:hAnsi="Times New Roman" w:cs="Times New Roman"/>
          <w:sz w:val="24"/>
          <w:szCs w:val="24"/>
        </w:rPr>
        <w:t>erőforrás allokációs mechanizmusként.</w:t>
      </w:r>
    </w:p>
    <w:p w14:paraId="279655C4" w14:textId="1FE5DC7A" w:rsidR="00992BE9" w:rsidRPr="00FA04B4" w:rsidRDefault="00992BE9" w:rsidP="009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DE">
        <w:rPr>
          <w:rFonts w:ascii="Times New Roman" w:hAnsi="Times New Roman" w:cs="Times New Roman"/>
          <w:sz w:val="24"/>
          <w:szCs w:val="24"/>
        </w:rPr>
        <w:t xml:space="preserve">[2] </w:t>
      </w:r>
      <w:r w:rsidRPr="00FA04B4">
        <w:rPr>
          <w:rFonts w:ascii="Times New Roman" w:hAnsi="Times New Roman" w:cs="Times New Roman"/>
          <w:sz w:val="24"/>
          <w:szCs w:val="24"/>
        </w:rPr>
        <w:t xml:space="preserve">A gazdasági társaságok általánosságban vett céljaként megjelenő üzletszerű gazdasági tevékenység értelemszerűen valamely versenyjogi értelemben vett piac keresleti és/vagy kínálati oldalán történő (ismét csak versenyjogi fogalomhasználattal:)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4B4">
        <w:rPr>
          <w:rFonts w:ascii="Times New Roman" w:hAnsi="Times New Roman" w:cs="Times New Roman"/>
          <w:sz w:val="24"/>
          <w:szCs w:val="24"/>
        </w:rPr>
        <w:t>piaci magatartás tanúsításával</w:t>
      </w:r>
      <w:r>
        <w:rPr>
          <w:rFonts w:ascii="Times New Roman" w:hAnsi="Times New Roman" w:cs="Times New Roman"/>
          <w:sz w:val="24"/>
          <w:szCs w:val="24"/>
        </w:rPr>
        <w:t>” [a</w:t>
      </w:r>
      <w:r w:rsidRPr="00455FBE">
        <w:rPr>
          <w:rFonts w:ascii="Times New Roman" w:hAnsi="Times New Roman" w:cs="Times New Roman"/>
          <w:sz w:val="24"/>
          <w:szCs w:val="24"/>
        </w:rPr>
        <w:t xml:space="preserve"> tisztességtelen piaci magatartás és a versenykorlátozás tilalmáról szóló 1996. évi LVII. törvény (</w:t>
      </w:r>
      <w:r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Pr="00455FBE">
        <w:rPr>
          <w:rFonts w:ascii="Times New Roman" w:hAnsi="Times New Roman" w:cs="Times New Roman"/>
          <w:sz w:val="24"/>
          <w:szCs w:val="24"/>
        </w:rPr>
        <w:t>Tpvt.) 1. § (1) bekezdés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A04B4">
        <w:rPr>
          <w:rFonts w:ascii="Times New Roman" w:hAnsi="Times New Roman" w:cs="Times New Roman"/>
          <w:sz w:val="24"/>
          <w:szCs w:val="24"/>
        </w:rPr>
        <w:t xml:space="preserve"> valósulhat meg. A gazdasági társaság nem automatikusan, létrejöttével lesz versenyjogi jogalannyá: ilyenné (versenyjogi nyelven: vállalkozássá) csak akkor válik, amikor megkezdi a piaci magatartás tanúsítását, azaz valamely piacon termékeket vagy szolgáltatásokat értékesít</w:t>
      </w:r>
      <w:r w:rsidR="00A873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ehhez termékeket és szolgáltatásokat</w:t>
      </w:r>
      <w:r w:rsidRPr="00FA04B4">
        <w:rPr>
          <w:rFonts w:ascii="Times New Roman" w:hAnsi="Times New Roman" w:cs="Times New Roman"/>
          <w:sz w:val="24"/>
          <w:szCs w:val="24"/>
        </w:rPr>
        <w:t xml:space="preserve"> szerez be. Ezért a magánjogi (társasági jogi) és a versenyjogi jogalanyiság közötti kapcsolat akként is leírható, hogy a gazdasági társaság elsődleges (megalakulásakor </w:t>
      </w:r>
      <w:r w:rsidRPr="00FA04B4">
        <w:rPr>
          <w:rFonts w:ascii="Times New Roman" w:hAnsi="Times New Roman" w:cs="Times New Roman"/>
          <w:sz w:val="24"/>
          <w:szCs w:val="24"/>
        </w:rPr>
        <w:lastRenderedPageBreak/>
        <w:t xml:space="preserve">egészen biztosan: az első) célja nem lehet más, mint versenyjogi értelemben vett vállalkozássá lenni, azaz piaci magatartást tanúsítani valamely piacon. </w:t>
      </w:r>
    </w:p>
    <w:p w14:paraId="4D64F853" w14:textId="4C6D4ABF" w:rsidR="00992BE9" w:rsidRPr="00FA04B4" w:rsidRDefault="00992BE9" w:rsidP="009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DE">
        <w:rPr>
          <w:rFonts w:ascii="Times New Roman" w:hAnsi="Times New Roman" w:cs="Times New Roman"/>
          <w:sz w:val="24"/>
          <w:szCs w:val="24"/>
        </w:rPr>
        <w:t xml:space="preserve">[3] </w:t>
      </w:r>
      <w:r w:rsidRPr="00FA04B4">
        <w:rPr>
          <w:rFonts w:ascii="Times New Roman" w:hAnsi="Times New Roman" w:cs="Times New Roman"/>
          <w:sz w:val="24"/>
          <w:szCs w:val="24"/>
        </w:rPr>
        <w:t xml:space="preserve">A gazdasági társaságok tehát piaci működésük megkezdésétől résztvevői a piaci versenynek. Ebből fakadóan szabályozási alanyai a versenyjognak is. Legfőképpen is köti a vállalkozásokat az </w:t>
      </w:r>
      <w:proofErr w:type="spellStart"/>
      <w:r w:rsidRPr="00FA04B4">
        <w:rPr>
          <w:rFonts w:ascii="Times New Roman" w:hAnsi="Times New Roman" w:cs="Times New Roman"/>
          <w:sz w:val="24"/>
          <w:szCs w:val="24"/>
        </w:rPr>
        <w:t>antitröszt</w:t>
      </w:r>
      <w:proofErr w:type="spellEnd"/>
      <w:r w:rsidRPr="00FA04B4">
        <w:rPr>
          <w:rFonts w:ascii="Times New Roman" w:hAnsi="Times New Roman" w:cs="Times New Roman"/>
          <w:sz w:val="24"/>
          <w:szCs w:val="24"/>
        </w:rPr>
        <w:t xml:space="preserve"> versenyjog mint gazdasági közjog szabályanyaga, melyből kiemelhető a versenykorlátoz</w:t>
      </w:r>
      <w:r>
        <w:rPr>
          <w:rFonts w:ascii="Times New Roman" w:hAnsi="Times New Roman" w:cs="Times New Roman"/>
          <w:sz w:val="24"/>
          <w:szCs w:val="24"/>
        </w:rPr>
        <w:t xml:space="preserve">ó megállapodások </w:t>
      </w:r>
      <w:r w:rsidRPr="00FA04B4">
        <w:rPr>
          <w:rFonts w:ascii="Times New Roman" w:hAnsi="Times New Roman" w:cs="Times New Roman"/>
          <w:sz w:val="24"/>
          <w:szCs w:val="24"/>
        </w:rPr>
        <w:t>és összehangolt magatartások tilalma</w:t>
      </w:r>
      <w:r w:rsidRPr="0083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376FD">
        <w:rPr>
          <w:rFonts w:ascii="Times New Roman" w:hAnsi="Times New Roman" w:cs="Times New Roman"/>
          <w:sz w:val="24"/>
          <w:szCs w:val="24"/>
        </w:rPr>
        <w:t xml:space="preserve">Tpvt. 11. §, illetve az uniós jogban: </w:t>
      </w:r>
      <w:r w:rsidRPr="008F45A2">
        <w:rPr>
          <w:rFonts w:ascii="Times New Roman" w:hAnsi="Times New Roman" w:cs="Times New Roman"/>
          <w:color w:val="000000"/>
          <w:sz w:val="24"/>
          <w:szCs w:val="24"/>
        </w:rPr>
        <w:t xml:space="preserve">a 2016/C 202/01 számú, az Európai Unióról szóló Szerződés (a továbbiakban: </w:t>
      </w:r>
      <w:proofErr w:type="spellStart"/>
      <w:r w:rsidRPr="008F45A2">
        <w:rPr>
          <w:rFonts w:ascii="Times New Roman" w:hAnsi="Times New Roman" w:cs="Times New Roman"/>
          <w:color w:val="000000"/>
          <w:sz w:val="24"/>
          <w:szCs w:val="24"/>
        </w:rPr>
        <w:t>EUMSz</w:t>
      </w:r>
      <w:proofErr w:type="spellEnd"/>
      <w:r w:rsidRPr="008F45A2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8F45A2">
        <w:rPr>
          <w:rFonts w:ascii="Times New Roman" w:hAnsi="Times New Roman" w:cs="Times New Roman"/>
          <w:sz w:val="24"/>
          <w:szCs w:val="24"/>
        </w:rPr>
        <w:t xml:space="preserve"> </w:t>
      </w:r>
      <w:r w:rsidRPr="008376FD">
        <w:rPr>
          <w:rFonts w:ascii="Times New Roman" w:hAnsi="Times New Roman" w:cs="Times New Roman"/>
          <w:sz w:val="24"/>
          <w:szCs w:val="24"/>
        </w:rPr>
        <w:t>101. cikk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8376FD">
        <w:rPr>
          <w:rFonts w:ascii="Times New Roman" w:hAnsi="Times New Roman" w:cs="Times New Roman"/>
          <w:sz w:val="24"/>
          <w:szCs w:val="24"/>
        </w:rPr>
        <w:t xml:space="preserve"> valamint a gazda</w:t>
      </w:r>
      <w:r>
        <w:rPr>
          <w:rFonts w:ascii="Times New Roman" w:hAnsi="Times New Roman" w:cs="Times New Roman"/>
          <w:sz w:val="24"/>
          <w:szCs w:val="24"/>
        </w:rPr>
        <w:t>sági</w:t>
      </w:r>
      <w:r w:rsidRPr="00FA04B4">
        <w:rPr>
          <w:rFonts w:ascii="Times New Roman" w:hAnsi="Times New Roman" w:cs="Times New Roman"/>
          <w:sz w:val="24"/>
          <w:szCs w:val="24"/>
        </w:rPr>
        <w:t xml:space="preserve"> erőfölénnyel visszaélés tilalma (Tpvt. 21. §, illetve az uniós jogban: </w:t>
      </w:r>
      <w:proofErr w:type="spellStart"/>
      <w:r w:rsidRPr="00FA04B4">
        <w:rPr>
          <w:rFonts w:ascii="Times New Roman" w:hAnsi="Times New Roman" w:cs="Times New Roman"/>
          <w:sz w:val="24"/>
          <w:szCs w:val="24"/>
        </w:rPr>
        <w:t>EUMSz</w:t>
      </w:r>
      <w:proofErr w:type="spellEnd"/>
      <w:r w:rsidRPr="00FA04B4">
        <w:rPr>
          <w:rFonts w:ascii="Times New Roman" w:hAnsi="Times New Roman" w:cs="Times New Roman"/>
          <w:sz w:val="24"/>
          <w:szCs w:val="24"/>
        </w:rPr>
        <w:t>. 102. cikk).</w:t>
      </w:r>
    </w:p>
    <w:p w14:paraId="62B1084F" w14:textId="6640B772" w:rsidR="00992BE9" w:rsidRPr="00176EF0" w:rsidRDefault="00992BE9" w:rsidP="00E8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F0">
        <w:rPr>
          <w:rFonts w:ascii="Times New Roman" w:hAnsi="Times New Roman" w:cs="Times New Roman"/>
          <w:sz w:val="24"/>
          <w:szCs w:val="24"/>
        </w:rPr>
        <w:t>[</w:t>
      </w:r>
      <w:r w:rsidR="008973FD" w:rsidRPr="00176EF0">
        <w:rPr>
          <w:rFonts w:ascii="Times New Roman" w:hAnsi="Times New Roman" w:cs="Times New Roman"/>
          <w:sz w:val="24"/>
          <w:szCs w:val="24"/>
        </w:rPr>
        <w:t>…</w:t>
      </w:r>
      <w:r w:rsidRPr="00176EF0">
        <w:rPr>
          <w:rFonts w:ascii="Times New Roman" w:hAnsi="Times New Roman" w:cs="Times New Roman"/>
          <w:sz w:val="24"/>
          <w:szCs w:val="24"/>
        </w:rPr>
        <w:t>]</w:t>
      </w:r>
    </w:p>
    <w:p w14:paraId="5C407027" w14:textId="485ADA99" w:rsidR="00915697" w:rsidRPr="00915697" w:rsidRDefault="00915697" w:rsidP="00176EF0">
      <w:pPr>
        <w:spacing w:before="480"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697">
        <w:rPr>
          <w:rFonts w:ascii="Times New Roman" w:hAnsi="Times New Roman" w:cs="Times New Roman"/>
          <w:i/>
          <w:iCs/>
          <w:sz w:val="24"/>
          <w:szCs w:val="24"/>
        </w:rPr>
        <w:t>(Megjelent: Polgári Jog, 2024/1-2.)</w:t>
      </w:r>
    </w:p>
    <w:p w14:paraId="0D40E09B" w14:textId="2ECC156A" w:rsidR="00B03435" w:rsidRDefault="00B83FD7" w:rsidP="00992B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D8D61" wp14:editId="7AD3B61A">
                <wp:simplePos x="0" y="0"/>
                <wp:positionH relativeFrom="column">
                  <wp:posOffset>13969</wp:posOffset>
                </wp:positionH>
                <wp:positionV relativeFrom="paragraph">
                  <wp:posOffset>81694</wp:posOffset>
                </wp:positionV>
                <wp:extent cx="6233823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42050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45pt" to="491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6D333C79" w14:textId="77777777" w:rsidR="00AB52B8" w:rsidRPr="00176EF0" w:rsidRDefault="00AB52B8" w:rsidP="00176EF0">
      <w:pPr>
        <w:shd w:val="clear" w:color="auto" w:fill="FFFFFF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  <w:r w:rsidRPr="00176EF0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Polgári Jog 2023/11-12. – Fórum</w:t>
      </w:r>
    </w:p>
    <w:p w14:paraId="792E6C95" w14:textId="75D4E4FD" w:rsidR="00AB52B8" w:rsidRDefault="00AB52B8" w:rsidP="00176EF0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584E45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Ilyés Kinga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: </w:t>
      </w:r>
      <w:r>
        <w:rPr>
          <w:rStyle w:val="Lbjegyzet-hivatkozs"/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Nemzetközi konferencia a polgári jog kodifikációjáról Nyugat- és Közép-Európában</w:t>
      </w:r>
    </w:p>
    <w:p w14:paraId="0508955B" w14:textId="77777777" w:rsidR="00AB52B8" w:rsidRPr="0025031A" w:rsidRDefault="00AB52B8" w:rsidP="00AB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 w:rsidRPr="002503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A Magyar Tudományos Akadémia, a Közép-európai Akadémia és a Mádl Ferenc Összehasonlító Jogi Intézet a Polgári Törvénykönyv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ről szóló 2013. évi V. törvény</w:t>
      </w:r>
      <w:r w:rsidRPr="002503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elfogadásának tizedik évfordulóján angol nyelvű nemzetközi konferenciát szervezett 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„</w:t>
      </w:r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A polgári jog kodifikációja: értékelés, reformok, lehetőségek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”</w:t>
      </w:r>
      <w:r w:rsidRPr="002503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„</w:t>
      </w:r>
      <w:proofErr w:type="spellStart"/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>Codification</w:t>
      </w:r>
      <w:proofErr w:type="spellEnd"/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 xml:space="preserve"> of Civil Law: </w:t>
      </w:r>
      <w:proofErr w:type="spellStart"/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>Assessment</w:t>
      </w:r>
      <w:proofErr w:type="spellEnd"/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>Reforms</w:t>
      </w:r>
      <w:proofErr w:type="spellEnd"/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1605C7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>Options</w:t>
      </w:r>
      <w:proofErr w:type="spellEnd"/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>”</w:t>
      </w:r>
      <w:r w:rsidRPr="002503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) címmel, 2023. május 18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–</w:t>
      </w:r>
      <w:r w:rsidRPr="002503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19-én.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</w:t>
      </w:r>
      <w:r w:rsidRPr="002503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A rendezvény célja a magánjogi kodifikáció jelenlegi helyzetének áttekintése, az elmúlt évtizedek reformjainak elemzése, a kihívások, valamint a különböző államokban megvalósított vagy tervezett reformok feltárása volt. </w:t>
      </w:r>
      <w:r w:rsidRPr="00BE2E66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A konferencián számos neves előadó vett részt, akik a polgári jogi kodifikáció különböző aspektusait világították meg, és lehetőséget biztosítottak a vizsgált problémakör mélyreható megvitatására.</w:t>
      </w:r>
    </w:p>
    <w:p w14:paraId="4BAF46A0" w14:textId="77777777" w:rsidR="00AB52B8" w:rsidRPr="0025031A" w:rsidRDefault="00AB52B8" w:rsidP="00176EF0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</w:pPr>
      <w:r w:rsidRPr="002503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Címkék: polgári törvénykönyvek, kodifikáció, összehasonlító jog, polgári jog reformja</w:t>
      </w:r>
    </w:p>
    <w:p w14:paraId="7F133129" w14:textId="77777777" w:rsidR="00AB52B8" w:rsidRDefault="00AB52B8" w:rsidP="00AB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[1] A rendezvényt Dr. Szilágyi János Ede egyetemi tanár köszöntője nyitotta meg, majd Dr. Vékás Lajos akadémikus a kodifikáció, a magánjogi kódex fontosságáról beszélt a XXI. század kontextusában: a polgári törvénykönyvek még mindig jobban szolgálják a megismerhetőség, a rendszerezettség és a jogbiztonság kívánalmait, mint a sok jogszabályban szétszórt, a rendszeralkotás kívánalmainak kevésbé megfelelő, sokszor meggondolatlan módosítások sorozatának kitett egyéb jogszabályok. </w:t>
      </w:r>
    </w:p>
    <w:p w14:paraId="1E5200B6" w14:textId="77777777" w:rsidR="00AB52B8" w:rsidRDefault="00AB52B8" w:rsidP="00AB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[2] Dr. Johannes Michael Rainer, a Salzburgi Egyetem professzora nyitó előadásában a magánjogi kodifikáció fejlődését és elméleti szempontjait tárgyalta. Felmutatta a római jogi alapok történelmi jelentőségét és folyamatos aktualitását. Prof. Rainer kiemelte Jean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Domat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szerepét a római magánjog modernizálásában. Az előadás kitért a francia polgári törvénykönyv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>1804-es megalkotására – alapvetően Jean-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Étienne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-Marie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Portalis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által –, kiemelve annak innovatív intézményrendszerét. Az előadás egyszerre hangsúlyozta a polgári jogi kódexek dinamikus jellegét és ezek a római joggal fennálló, mélyen gyökerező kapcsolatát. Rainer professzor záró következtetésében kiemelte a polgári törvénykönyvek általános fogalmán belül a különböző tartalmak gazdagságát. Hangsúlyozta az egymással párhuzamosan létező törvénykönyvek fontosságát, ugyanis véleménye szerint nem létezik egyetlen modell, amelyet általánosan alkalmazni kellene. A meglévő kódexek közötti különbségek inspirációként szolgálnak a különböző országok reformerei számára. Ez a sokféleség lehetővé teszi a kölcsönös megértést és az egyes jogrendszerek fejlesztését. Külön kiemelte, hogy a polgári jogi kódexek a magánjog tudományának legmagasabb szintű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kifejeződései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, és nélkülözhetetlenek a jogrendszerek működéséhez.</w:t>
      </w:r>
    </w:p>
    <w:p w14:paraId="4AF201AF" w14:textId="77777777" w:rsidR="00AB52B8" w:rsidRDefault="00AB52B8" w:rsidP="00AB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[3] A következő előadó, Dr. Veress Emőd (Budapest/Miskolc) a kelet-közép-európai kodifikációs törekvéseket vizsgálta, a kodifikáció öt hullámát azonosítva. Előadásában kiemelte az osztrák és francia polgári törvénykönyvek hatását, közvetlen hatályba léptetését a régió egyes területein. Rámutatott, hogy a régió első saját polgári törvénykönyve Moldovában (amely részben a mai Romániához tartozik, részben szovjet utódállam) jelent meg 1817-ben, bizánci és osztrák jogi elemeket vegyítve. A következő kódex Szerbiában született 1844-ben, amelyet szintén az osztrák polgári törvénykönyv ihletett. Eközben Magyarországon a szokásjog volt érvényben. Románia 1864-ben gyakorlatilag átvette a francia törvénykönyvet, kiegészítésként felhasználva az olasz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Pisanelli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-tervezetet és a belga zálogjogi törvényt. Ez a román polgári törvénykönyv gyakorlatilag 2011-ig hatályban volt. Egy másik érdekes, ugyanakkor nem túl ismert jogszabály Montenegró 1888-as kötelmi jogi kódexe, amely a szokásjogban gyökerezett. Az első világháborút követően a térséget meghatározó birodalmak szétbomlottak, és az újonnan létrejött államokban, például Lengyelországban, Csehszlovákiában, a Jugoszláv Királyságban vagy Nagy-Romániában a jogrendszerek egységesítésére tettek erőfeszítéseket. A negyedik kodifikációs hullám a szovjet típusú diktatúrák alatt megszületett törvénykönyveket foglalja magába, az ötödik pedig a rendszerváltás után megszületett törvénykönyveket (lásd: Magyarország, Csehország, Románia). Néhány kelet-közép-európai ország ugyanakkor még ma is dolgozik kodifikációs projekteken.</w:t>
      </w:r>
    </w:p>
    <w:p w14:paraId="0F1E055A" w14:textId="40E33BE1" w:rsidR="00176EF0" w:rsidRPr="00176EF0" w:rsidRDefault="00AB52B8" w:rsidP="00AB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176EF0">
        <w:rPr>
          <w:rFonts w:ascii="Times New Roman" w:eastAsia="Times New Roman" w:hAnsi="Times New Roman" w:cs="Times New Roman"/>
          <w:color w:val="1D2228"/>
          <w:sz w:val="24"/>
          <w:szCs w:val="24"/>
        </w:rPr>
        <w:t>[</w:t>
      </w:r>
      <w:r w:rsidRPr="00176EF0">
        <w:rPr>
          <w:rFonts w:ascii="Times New Roman" w:eastAsia="Times New Roman" w:hAnsi="Times New Roman" w:cs="Times New Roman"/>
          <w:color w:val="1D2228"/>
          <w:sz w:val="24"/>
          <w:szCs w:val="24"/>
        </w:rPr>
        <w:t>……</w:t>
      </w:r>
      <w:r w:rsidRPr="00176EF0">
        <w:rPr>
          <w:rFonts w:ascii="Times New Roman" w:eastAsia="Times New Roman" w:hAnsi="Times New Roman" w:cs="Times New Roman"/>
          <w:color w:val="1D2228"/>
          <w:sz w:val="24"/>
          <w:szCs w:val="24"/>
        </w:rPr>
        <w:t>]</w:t>
      </w:r>
    </w:p>
    <w:p w14:paraId="6A95AE5B" w14:textId="336DF9D0" w:rsidR="00B03435" w:rsidRPr="00176EF0" w:rsidRDefault="00176EF0" w:rsidP="00176EF0">
      <w:pPr>
        <w:shd w:val="clear" w:color="auto" w:fill="FFFFFF"/>
        <w:spacing w:before="480" w:after="240" w:line="240" w:lineRule="auto"/>
        <w:jc w:val="both"/>
        <w:rPr>
          <w:i/>
          <w:iCs/>
        </w:rPr>
      </w:pPr>
      <w:r w:rsidRPr="00176EF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(Megjelent: Polgári Jog, 2023/11-12.)</w:t>
      </w:r>
      <w:r w:rsidR="00AB52B8" w:rsidRPr="00176EF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 </w:t>
      </w:r>
    </w:p>
    <w:sectPr w:rsidR="00B03435" w:rsidRPr="00176EF0" w:rsidSect="00286944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03F9" w14:textId="77777777" w:rsidR="00EF60F5" w:rsidRDefault="00EF60F5" w:rsidP="008C1B90">
      <w:pPr>
        <w:spacing w:after="0" w:line="240" w:lineRule="auto"/>
      </w:pPr>
      <w:r>
        <w:separator/>
      </w:r>
    </w:p>
  </w:endnote>
  <w:endnote w:type="continuationSeparator" w:id="0">
    <w:p w14:paraId="01BF20F9" w14:textId="77777777" w:rsidR="00EF60F5" w:rsidRDefault="00EF60F5" w:rsidP="008C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733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DB6BE" w14:textId="77777777" w:rsidR="005A1772" w:rsidRDefault="003D3FA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EF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A5881B9" w14:textId="77777777" w:rsidR="005A1772" w:rsidRDefault="005A17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B47D" w14:textId="77777777" w:rsidR="00EF60F5" w:rsidRDefault="00EF60F5" w:rsidP="008C1B90">
      <w:pPr>
        <w:spacing w:after="0" w:line="240" w:lineRule="auto"/>
      </w:pPr>
      <w:r>
        <w:separator/>
      </w:r>
    </w:p>
  </w:footnote>
  <w:footnote w:type="continuationSeparator" w:id="0">
    <w:p w14:paraId="26EA81AD" w14:textId="77777777" w:rsidR="00EF60F5" w:rsidRDefault="00EF60F5" w:rsidP="008C1B90">
      <w:pPr>
        <w:spacing w:after="0" w:line="240" w:lineRule="auto"/>
      </w:pPr>
      <w:r>
        <w:continuationSeparator/>
      </w:r>
    </w:p>
  </w:footnote>
  <w:footnote w:id="1">
    <w:p w14:paraId="1067E098" w14:textId="77777777" w:rsidR="00992BE9" w:rsidRPr="006C5CA7" w:rsidRDefault="00992BE9" w:rsidP="00992BE9">
      <w:pPr>
        <w:pStyle w:val="Lbjegyzetszveg"/>
        <w:rPr>
          <w:rFonts w:ascii="Times New Roman" w:hAnsi="Times New Roman" w:cs="Times New Roman"/>
        </w:rPr>
      </w:pPr>
      <w:r w:rsidRPr="006C5CA7">
        <w:rPr>
          <w:rStyle w:val="Lbjegyzet-hivatkozs"/>
          <w:rFonts w:ascii="Times New Roman" w:hAnsi="Times New Roman" w:cs="Times New Roman"/>
        </w:rPr>
        <w:footnoteRef/>
      </w:r>
      <w:r w:rsidRPr="006C5CA7">
        <w:rPr>
          <w:rFonts w:ascii="Times New Roman" w:hAnsi="Times New Roman" w:cs="Times New Roman"/>
        </w:rPr>
        <w:t xml:space="preserve"> Címzetes egyetemi docens (ELTE ÁJK); ügyvéd, partner, DLA </w:t>
      </w:r>
      <w:proofErr w:type="spellStart"/>
      <w:r w:rsidRPr="006C5CA7">
        <w:rPr>
          <w:rFonts w:ascii="Times New Roman" w:hAnsi="Times New Roman" w:cs="Times New Roman"/>
        </w:rPr>
        <w:t>Piper</w:t>
      </w:r>
      <w:proofErr w:type="spellEnd"/>
      <w:r w:rsidRPr="006C5CA7">
        <w:rPr>
          <w:rFonts w:ascii="Times New Roman" w:hAnsi="Times New Roman" w:cs="Times New Roman"/>
        </w:rPr>
        <w:t xml:space="preserve"> </w:t>
      </w:r>
      <w:proofErr w:type="spellStart"/>
      <w:r w:rsidRPr="006C5CA7">
        <w:rPr>
          <w:rFonts w:ascii="Times New Roman" w:hAnsi="Times New Roman" w:cs="Times New Roman"/>
        </w:rPr>
        <w:t>Posztl</w:t>
      </w:r>
      <w:proofErr w:type="spellEnd"/>
      <w:r w:rsidRPr="006C5CA7">
        <w:rPr>
          <w:rFonts w:ascii="Times New Roman" w:hAnsi="Times New Roman" w:cs="Times New Roman"/>
        </w:rPr>
        <w:t>, Nemescsói, Györfi-Tóth és Társai Ügyvédi Iroda</w:t>
      </w:r>
      <w:r>
        <w:rPr>
          <w:rFonts w:ascii="Times New Roman" w:hAnsi="Times New Roman" w:cs="Times New Roman"/>
        </w:rPr>
        <w:t>.</w:t>
      </w:r>
    </w:p>
  </w:footnote>
  <w:footnote w:id="2">
    <w:p w14:paraId="7C1FF3DE" w14:textId="504800F9" w:rsidR="00992BE9" w:rsidRPr="00841E2F" w:rsidRDefault="00992BE9" w:rsidP="008F45A2">
      <w:pPr>
        <w:pStyle w:val="Lbjegyzetszveg"/>
        <w:jc w:val="both"/>
        <w:rPr>
          <w:rFonts w:ascii="Times New Roman" w:hAnsi="Times New Roman" w:cs="Times New Roman"/>
        </w:rPr>
      </w:pPr>
      <w:r w:rsidRPr="00841E2F">
        <w:rPr>
          <w:rStyle w:val="Lbjegyzet-hivatkozs"/>
          <w:rFonts w:ascii="Times New Roman" w:hAnsi="Times New Roman" w:cs="Times New Roman"/>
        </w:rPr>
        <w:footnoteRef/>
      </w:r>
      <w:r w:rsidRPr="00841E2F">
        <w:rPr>
          <w:rFonts w:ascii="Times New Roman" w:hAnsi="Times New Roman" w:cs="Times New Roman"/>
        </w:rPr>
        <w:t xml:space="preserve"> A jelen sorok szerzője e tanulmánnyal kívánja felköszönteni nagyra</w:t>
      </w:r>
      <w:r w:rsidR="00A8738B">
        <w:rPr>
          <w:rFonts w:ascii="Times New Roman" w:hAnsi="Times New Roman" w:cs="Times New Roman"/>
        </w:rPr>
        <w:t xml:space="preserve"> </w:t>
      </w:r>
      <w:r w:rsidRPr="00841E2F">
        <w:rPr>
          <w:rFonts w:ascii="Times New Roman" w:hAnsi="Times New Roman" w:cs="Times New Roman"/>
        </w:rPr>
        <w:t xml:space="preserve">becsült és szeretett egyetemi (tanszéki) mentorát és tanárát, Dr. Kisfaludi Andrást, az ELTE ÁJK </w:t>
      </w:r>
      <w:r w:rsidRPr="00841E2F">
        <w:rPr>
          <w:rFonts w:ascii="Times New Roman" w:hAnsi="Times New Roman" w:cs="Times New Roman"/>
          <w:i/>
          <w:iCs/>
        </w:rPr>
        <w:t>professor emeritus</w:t>
      </w:r>
      <w:r w:rsidRPr="00841E2F">
        <w:rPr>
          <w:rFonts w:ascii="Times New Roman" w:hAnsi="Times New Roman" w:cs="Times New Roman"/>
        </w:rPr>
        <w:t>át 65. születésnapja alkalmából.</w:t>
      </w:r>
      <w:r>
        <w:rPr>
          <w:rFonts w:ascii="Times New Roman" w:hAnsi="Times New Roman" w:cs="Times New Roman"/>
        </w:rPr>
        <w:t xml:space="preserve"> </w:t>
      </w:r>
    </w:p>
  </w:footnote>
  <w:footnote w:id="3">
    <w:p w14:paraId="70DB84E1" w14:textId="2D20A676" w:rsidR="00992BE9" w:rsidRPr="00841E2F" w:rsidRDefault="00992BE9" w:rsidP="008F45A2">
      <w:pPr>
        <w:pStyle w:val="Lbjegyzetszveg"/>
        <w:jc w:val="both"/>
        <w:rPr>
          <w:rFonts w:ascii="Times New Roman" w:hAnsi="Times New Roman" w:cs="Times New Roman"/>
        </w:rPr>
      </w:pPr>
      <w:r w:rsidRPr="00841E2F">
        <w:rPr>
          <w:rStyle w:val="Lbjegyzet-hivatkozs"/>
          <w:rFonts w:ascii="Times New Roman" w:hAnsi="Times New Roman" w:cs="Times New Roman"/>
        </w:rPr>
        <w:footnoteRef/>
      </w:r>
      <w:r w:rsidRPr="00841E2F">
        <w:rPr>
          <w:rFonts w:ascii="Times New Roman" w:hAnsi="Times New Roman" w:cs="Times New Roman"/>
        </w:rPr>
        <w:t xml:space="preserve"> </w:t>
      </w:r>
      <w:r w:rsidRPr="00841E2F">
        <w:rPr>
          <w:rFonts w:ascii="Times New Roman" w:hAnsi="Times New Roman" w:cs="Times New Roman"/>
          <w:i/>
          <w:iCs/>
        </w:rPr>
        <w:t>Dr. Kisfaludi András</w:t>
      </w:r>
      <w:r w:rsidR="00A8738B">
        <w:rPr>
          <w:rFonts w:ascii="Times New Roman" w:hAnsi="Times New Roman" w:cs="Times New Roman"/>
          <w:i/>
          <w:iCs/>
        </w:rPr>
        <w:t>:</w:t>
      </w:r>
      <w:r w:rsidRPr="00841E2F">
        <w:rPr>
          <w:rFonts w:ascii="Times New Roman" w:hAnsi="Times New Roman" w:cs="Times New Roman"/>
        </w:rPr>
        <w:t xml:space="preserve"> A társasági jog</w:t>
      </w:r>
      <w:r>
        <w:rPr>
          <w:rFonts w:ascii="Times New Roman" w:hAnsi="Times New Roman" w:cs="Times New Roman"/>
        </w:rPr>
        <w:t>.</w:t>
      </w:r>
      <w:r w:rsidRPr="00841E2F">
        <w:rPr>
          <w:rFonts w:ascii="Times New Roman" w:hAnsi="Times New Roman" w:cs="Times New Roman"/>
        </w:rPr>
        <w:t xml:space="preserve"> </w:t>
      </w:r>
      <w:proofErr w:type="spellStart"/>
      <w:r w:rsidRPr="00841E2F">
        <w:rPr>
          <w:rFonts w:ascii="Times New Roman" w:hAnsi="Times New Roman" w:cs="Times New Roman"/>
        </w:rPr>
        <w:t>Dominicard</w:t>
      </w:r>
      <w:proofErr w:type="spellEnd"/>
      <w:r w:rsidRPr="00841E2F">
        <w:rPr>
          <w:rFonts w:ascii="Times New Roman" w:hAnsi="Times New Roman" w:cs="Times New Roman"/>
        </w:rPr>
        <w:t xml:space="preserve"> Bt., Budapest 1996, 13. o.</w:t>
      </w:r>
    </w:p>
  </w:footnote>
  <w:footnote w:id="4">
    <w:p w14:paraId="145FB178" w14:textId="77777777" w:rsidR="00AB52B8" w:rsidRPr="005A6A34" w:rsidRDefault="00AB52B8" w:rsidP="00AB52B8">
      <w:pPr>
        <w:pStyle w:val="Lbjegyzetszveg"/>
        <w:jc w:val="both"/>
      </w:pPr>
      <w:r w:rsidRPr="005A6A34">
        <w:rPr>
          <w:rStyle w:val="Lbjegyzet-hivatkozs"/>
          <w:rFonts w:ascii="Times New Roman" w:hAnsi="Times New Roman" w:cs="Times New Roman"/>
        </w:rPr>
        <w:footnoteRef/>
      </w:r>
      <w:r w:rsidRPr="005A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5A6A34">
        <w:rPr>
          <w:rFonts w:ascii="Times New Roman" w:hAnsi="Times New Roman" w:cs="Times New Roman"/>
        </w:rPr>
        <w:t>gyetemi tanársegéd</w:t>
      </w:r>
      <w:r>
        <w:rPr>
          <w:rFonts w:ascii="Times New Roman" w:hAnsi="Times New Roman" w:cs="Times New Roman"/>
        </w:rPr>
        <w:t xml:space="preserve"> –</w:t>
      </w:r>
      <w:r w:rsidRPr="005A6A34">
        <w:rPr>
          <w:rFonts w:ascii="Times New Roman" w:hAnsi="Times New Roman" w:cs="Times New Roman"/>
        </w:rPr>
        <w:t xml:space="preserve"> Sapientia Erdélyi Magyar Tudományegyetem (Kolozsvár), </w:t>
      </w:r>
      <w:proofErr w:type="spellStart"/>
      <w:r w:rsidRPr="005A6A34">
        <w:rPr>
          <w:rFonts w:ascii="Times New Roman" w:hAnsi="Times New Roman" w:cs="Times New Roman"/>
        </w:rPr>
        <w:t>Ph.D</w:t>
      </w:r>
      <w:proofErr w:type="spellEnd"/>
      <w:r w:rsidRPr="005A6A34">
        <w:rPr>
          <w:rFonts w:ascii="Times New Roman" w:hAnsi="Times New Roman" w:cs="Times New Roman"/>
        </w:rPr>
        <w:t xml:space="preserve">. hallgató </w:t>
      </w:r>
      <w:r>
        <w:rPr>
          <w:rFonts w:ascii="Times New Roman" w:hAnsi="Times New Roman" w:cs="Times New Roman"/>
        </w:rPr>
        <w:t xml:space="preserve">– </w:t>
      </w:r>
      <w:r w:rsidRPr="005A6A34">
        <w:rPr>
          <w:rFonts w:ascii="Times New Roman" w:hAnsi="Times New Roman" w:cs="Times New Roman"/>
        </w:rPr>
        <w:t>ME ÁJK/Közép-európai Akadémia (Miskolc</w:t>
      </w:r>
      <w:r>
        <w:rPr>
          <w:rFonts w:ascii="Times New Roman" w:hAnsi="Times New Roman" w:cs="Times New Roman"/>
        </w:rPr>
        <w:t>–</w:t>
      </w:r>
      <w:r w:rsidRPr="005A6A34">
        <w:rPr>
          <w:rFonts w:ascii="Times New Roman" w:hAnsi="Times New Roman" w:cs="Times New Roman"/>
        </w:rPr>
        <w:t>Budapest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90"/>
    <w:rsid w:val="00003596"/>
    <w:rsid w:val="000042EE"/>
    <w:rsid w:val="00006D9C"/>
    <w:rsid w:val="00015673"/>
    <w:rsid w:val="000353CC"/>
    <w:rsid w:val="000461C2"/>
    <w:rsid w:val="00060072"/>
    <w:rsid w:val="000601A6"/>
    <w:rsid w:val="000612E2"/>
    <w:rsid w:val="00063959"/>
    <w:rsid w:val="00067D7E"/>
    <w:rsid w:val="00077DB9"/>
    <w:rsid w:val="0008044B"/>
    <w:rsid w:val="0008440F"/>
    <w:rsid w:val="00091807"/>
    <w:rsid w:val="000C3CA9"/>
    <w:rsid w:val="000D0C12"/>
    <w:rsid w:val="000D6D16"/>
    <w:rsid w:val="000E1739"/>
    <w:rsid w:val="000E1908"/>
    <w:rsid w:val="000E3BA8"/>
    <w:rsid w:val="000F055A"/>
    <w:rsid w:val="000F3F71"/>
    <w:rsid w:val="000F4486"/>
    <w:rsid w:val="001008EF"/>
    <w:rsid w:val="00105F3B"/>
    <w:rsid w:val="00116FEF"/>
    <w:rsid w:val="00117C5D"/>
    <w:rsid w:val="00121171"/>
    <w:rsid w:val="001268C9"/>
    <w:rsid w:val="001302BE"/>
    <w:rsid w:val="001327A0"/>
    <w:rsid w:val="00132C66"/>
    <w:rsid w:val="00132CAD"/>
    <w:rsid w:val="00144D4B"/>
    <w:rsid w:val="00156174"/>
    <w:rsid w:val="00157B4B"/>
    <w:rsid w:val="00176EF0"/>
    <w:rsid w:val="00177BD6"/>
    <w:rsid w:val="0018562D"/>
    <w:rsid w:val="001A581C"/>
    <w:rsid w:val="001C6519"/>
    <w:rsid w:val="001D03B1"/>
    <w:rsid w:val="001D3401"/>
    <w:rsid w:val="001E7221"/>
    <w:rsid w:val="001E72D8"/>
    <w:rsid w:val="001F0164"/>
    <w:rsid w:val="001F3A14"/>
    <w:rsid w:val="002038D2"/>
    <w:rsid w:val="002114D9"/>
    <w:rsid w:val="00213F94"/>
    <w:rsid w:val="00216B68"/>
    <w:rsid w:val="00222C00"/>
    <w:rsid w:val="0023059B"/>
    <w:rsid w:val="00244B97"/>
    <w:rsid w:val="00256037"/>
    <w:rsid w:val="00262673"/>
    <w:rsid w:val="00280069"/>
    <w:rsid w:val="00280CC1"/>
    <w:rsid w:val="0028619D"/>
    <w:rsid w:val="00286944"/>
    <w:rsid w:val="002A203B"/>
    <w:rsid w:val="002B15D1"/>
    <w:rsid w:val="002D3F2F"/>
    <w:rsid w:val="002E19F3"/>
    <w:rsid w:val="002F1A2E"/>
    <w:rsid w:val="002F3F40"/>
    <w:rsid w:val="002F49D1"/>
    <w:rsid w:val="003053AB"/>
    <w:rsid w:val="0031661D"/>
    <w:rsid w:val="00317D95"/>
    <w:rsid w:val="00317F9F"/>
    <w:rsid w:val="00321ADA"/>
    <w:rsid w:val="00337168"/>
    <w:rsid w:val="0034058B"/>
    <w:rsid w:val="00343537"/>
    <w:rsid w:val="003507D6"/>
    <w:rsid w:val="003526B8"/>
    <w:rsid w:val="003543BA"/>
    <w:rsid w:val="00387CEB"/>
    <w:rsid w:val="00387D45"/>
    <w:rsid w:val="003A16F0"/>
    <w:rsid w:val="003A2C99"/>
    <w:rsid w:val="003A51A3"/>
    <w:rsid w:val="003B6CCC"/>
    <w:rsid w:val="003C48EA"/>
    <w:rsid w:val="003C51F5"/>
    <w:rsid w:val="003D0ADE"/>
    <w:rsid w:val="003D3FAB"/>
    <w:rsid w:val="003E16F3"/>
    <w:rsid w:val="003E76E8"/>
    <w:rsid w:val="00422F98"/>
    <w:rsid w:val="00424EAA"/>
    <w:rsid w:val="00427412"/>
    <w:rsid w:val="00443DC8"/>
    <w:rsid w:val="00445E05"/>
    <w:rsid w:val="00453197"/>
    <w:rsid w:val="004629EE"/>
    <w:rsid w:val="0047196E"/>
    <w:rsid w:val="00474D8C"/>
    <w:rsid w:val="00492379"/>
    <w:rsid w:val="00493A49"/>
    <w:rsid w:val="004A10F4"/>
    <w:rsid w:val="004A40AE"/>
    <w:rsid w:val="004A653C"/>
    <w:rsid w:val="004A6807"/>
    <w:rsid w:val="004B27CB"/>
    <w:rsid w:val="004B51D7"/>
    <w:rsid w:val="004C52A0"/>
    <w:rsid w:val="004D2DB4"/>
    <w:rsid w:val="004D555E"/>
    <w:rsid w:val="004D76B4"/>
    <w:rsid w:val="004D7AB1"/>
    <w:rsid w:val="004E0C8E"/>
    <w:rsid w:val="004F0931"/>
    <w:rsid w:val="004F220F"/>
    <w:rsid w:val="0051128D"/>
    <w:rsid w:val="005141F4"/>
    <w:rsid w:val="005173B8"/>
    <w:rsid w:val="00525FE0"/>
    <w:rsid w:val="00537E45"/>
    <w:rsid w:val="00546CAD"/>
    <w:rsid w:val="00547619"/>
    <w:rsid w:val="00547747"/>
    <w:rsid w:val="005554B4"/>
    <w:rsid w:val="00556B6C"/>
    <w:rsid w:val="00566942"/>
    <w:rsid w:val="00571DDF"/>
    <w:rsid w:val="005924CE"/>
    <w:rsid w:val="00592963"/>
    <w:rsid w:val="005A0CA5"/>
    <w:rsid w:val="005A1772"/>
    <w:rsid w:val="005B0F3E"/>
    <w:rsid w:val="005B7544"/>
    <w:rsid w:val="005C019D"/>
    <w:rsid w:val="005C2279"/>
    <w:rsid w:val="005C40BD"/>
    <w:rsid w:val="005C537D"/>
    <w:rsid w:val="005D37CC"/>
    <w:rsid w:val="005E11FF"/>
    <w:rsid w:val="005E7478"/>
    <w:rsid w:val="005F3101"/>
    <w:rsid w:val="005F4C08"/>
    <w:rsid w:val="006075BA"/>
    <w:rsid w:val="00627736"/>
    <w:rsid w:val="00637EBF"/>
    <w:rsid w:val="006442C5"/>
    <w:rsid w:val="00644678"/>
    <w:rsid w:val="00654045"/>
    <w:rsid w:val="00655BF9"/>
    <w:rsid w:val="00664931"/>
    <w:rsid w:val="006700FB"/>
    <w:rsid w:val="00674D52"/>
    <w:rsid w:val="00675E9E"/>
    <w:rsid w:val="00680856"/>
    <w:rsid w:val="00681205"/>
    <w:rsid w:val="00693C97"/>
    <w:rsid w:val="006952FC"/>
    <w:rsid w:val="00696D61"/>
    <w:rsid w:val="006A05EC"/>
    <w:rsid w:val="006A3787"/>
    <w:rsid w:val="006A6FA3"/>
    <w:rsid w:val="006A70CD"/>
    <w:rsid w:val="006C4E47"/>
    <w:rsid w:val="006C5CA7"/>
    <w:rsid w:val="006C732E"/>
    <w:rsid w:val="006C7515"/>
    <w:rsid w:val="006C7839"/>
    <w:rsid w:val="006D7258"/>
    <w:rsid w:val="006E1A6A"/>
    <w:rsid w:val="00702348"/>
    <w:rsid w:val="0070328B"/>
    <w:rsid w:val="00721015"/>
    <w:rsid w:val="007215E2"/>
    <w:rsid w:val="00734101"/>
    <w:rsid w:val="00743006"/>
    <w:rsid w:val="007769EF"/>
    <w:rsid w:val="007831AB"/>
    <w:rsid w:val="00787B3F"/>
    <w:rsid w:val="00790B68"/>
    <w:rsid w:val="0079533D"/>
    <w:rsid w:val="007A21F0"/>
    <w:rsid w:val="007A41D6"/>
    <w:rsid w:val="007A4E3C"/>
    <w:rsid w:val="007B1700"/>
    <w:rsid w:val="007C0B12"/>
    <w:rsid w:val="007C437B"/>
    <w:rsid w:val="007C617D"/>
    <w:rsid w:val="007D3E8A"/>
    <w:rsid w:val="007E0E79"/>
    <w:rsid w:val="007E11EE"/>
    <w:rsid w:val="007E6394"/>
    <w:rsid w:val="007F2201"/>
    <w:rsid w:val="0080278E"/>
    <w:rsid w:val="00806A8E"/>
    <w:rsid w:val="0082006F"/>
    <w:rsid w:val="00820A0E"/>
    <w:rsid w:val="00820F1B"/>
    <w:rsid w:val="00821ED5"/>
    <w:rsid w:val="0082220F"/>
    <w:rsid w:val="008233CA"/>
    <w:rsid w:val="00826358"/>
    <w:rsid w:val="008304DA"/>
    <w:rsid w:val="00832F62"/>
    <w:rsid w:val="00833756"/>
    <w:rsid w:val="00836D8C"/>
    <w:rsid w:val="008376FD"/>
    <w:rsid w:val="0084183B"/>
    <w:rsid w:val="00841E2F"/>
    <w:rsid w:val="00843039"/>
    <w:rsid w:val="00847BDE"/>
    <w:rsid w:val="00851005"/>
    <w:rsid w:val="0085145B"/>
    <w:rsid w:val="0085312B"/>
    <w:rsid w:val="00856E77"/>
    <w:rsid w:val="00860CD0"/>
    <w:rsid w:val="00862131"/>
    <w:rsid w:val="0086573A"/>
    <w:rsid w:val="00866D83"/>
    <w:rsid w:val="00872412"/>
    <w:rsid w:val="00874693"/>
    <w:rsid w:val="00874E33"/>
    <w:rsid w:val="00883DB8"/>
    <w:rsid w:val="00887571"/>
    <w:rsid w:val="00896C5B"/>
    <w:rsid w:val="008973FD"/>
    <w:rsid w:val="008A3CC0"/>
    <w:rsid w:val="008A73D6"/>
    <w:rsid w:val="008A7E1F"/>
    <w:rsid w:val="008C1B90"/>
    <w:rsid w:val="008C2E53"/>
    <w:rsid w:val="008E2CF0"/>
    <w:rsid w:val="008F45A2"/>
    <w:rsid w:val="00915697"/>
    <w:rsid w:val="0091612D"/>
    <w:rsid w:val="009252A5"/>
    <w:rsid w:val="009337E0"/>
    <w:rsid w:val="00940B74"/>
    <w:rsid w:val="009429C9"/>
    <w:rsid w:val="0095104C"/>
    <w:rsid w:val="00961878"/>
    <w:rsid w:val="009724FC"/>
    <w:rsid w:val="00981952"/>
    <w:rsid w:val="00992BE9"/>
    <w:rsid w:val="009A1FAC"/>
    <w:rsid w:val="009A22B7"/>
    <w:rsid w:val="009A364B"/>
    <w:rsid w:val="009B447B"/>
    <w:rsid w:val="009B5F95"/>
    <w:rsid w:val="009C1E61"/>
    <w:rsid w:val="009C5713"/>
    <w:rsid w:val="009D1F6E"/>
    <w:rsid w:val="009E2813"/>
    <w:rsid w:val="00A056C8"/>
    <w:rsid w:val="00A12506"/>
    <w:rsid w:val="00A141E4"/>
    <w:rsid w:val="00A22C5A"/>
    <w:rsid w:val="00A22FD3"/>
    <w:rsid w:val="00A23C25"/>
    <w:rsid w:val="00A2655D"/>
    <w:rsid w:val="00A40199"/>
    <w:rsid w:val="00A57FC5"/>
    <w:rsid w:val="00A64397"/>
    <w:rsid w:val="00A7548F"/>
    <w:rsid w:val="00A8738B"/>
    <w:rsid w:val="00A87F79"/>
    <w:rsid w:val="00A942FE"/>
    <w:rsid w:val="00AA1258"/>
    <w:rsid w:val="00AA2ADA"/>
    <w:rsid w:val="00AB0430"/>
    <w:rsid w:val="00AB18FD"/>
    <w:rsid w:val="00AB4C4E"/>
    <w:rsid w:val="00AB52B8"/>
    <w:rsid w:val="00B0212D"/>
    <w:rsid w:val="00B03435"/>
    <w:rsid w:val="00B06FE4"/>
    <w:rsid w:val="00B13AAA"/>
    <w:rsid w:val="00B14573"/>
    <w:rsid w:val="00B158D1"/>
    <w:rsid w:val="00B17947"/>
    <w:rsid w:val="00B20CD1"/>
    <w:rsid w:val="00B215CE"/>
    <w:rsid w:val="00B2177E"/>
    <w:rsid w:val="00B23B91"/>
    <w:rsid w:val="00B23D71"/>
    <w:rsid w:val="00B344C4"/>
    <w:rsid w:val="00B53B4A"/>
    <w:rsid w:val="00B54CBB"/>
    <w:rsid w:val="00B65E43"/>
    <w:rsid w:val="00B822BF"/>
    <w:rsid w:val="00B83FD7"/>
    <w:rsid w:val="00B914DE"/>
    <w:rsid w:val="00BA30D5"/>
    <w:rsid w:val="00BA6615"/>
    <w:rsid w:val="00BD2EEA"/>
    <w:rsid w:val="00C146C1"/>
    <w:rsid w:val="00C34650"/>
    <w:rsid w:val="00C41376"/>
    <w:rsid w:val="00C829B0"/>
    <w:rsid w:val="00C86EFF"/>
    <w:rsid w:val="00C975B9"/>
    <w:rsid w:val="00CB1EE9"/>
    <w:rsid w:val="00CB5D1E"/>
    <w:rsid w:val="00CB790A"/>
    <w:rsid w:val="00CC09DE"/>
    <w:rsid w:val="00CD4152"/>
    <w:rsid w:val="00CE2D10"/>
    <w:rsid w:val="00CE6FC8"/>
    <w:rsid w:val="00D03791"/>
    <w:rsid w:val="00D03DE8"/>
    <w:rsid w:val="00D0530E"/>
    <w:rsid w:val="00D13A7E"/>
    <w:rsid w:val="00D145A4"/>
    <w:rsid w:val="00D22235"/>
    <w:rsid w:val="00D33D2D"/>
    <w:rsid w:val="00D36F29"/>
    <w:rsid w:val="00D402F2"/>
    <w:rsid w:val="00D41B31"/>
    <w:rsid w:val="00D45369"/>
    <w:rsid w:val="00D52641"/>
    <w:rsid w:val="00D57537"/>
    <w:rsid w:val="00D62984"/>
    <w:rsid w:val="00D6572A"/>
    <w:rsid w:val="00D76DED"/>
    <w:rsid w:val="00DB1BA6"/>
    <w:rsid w:val="00DC2E7C"/>
    <w:rsid w:val="00DC4189"/>
    <w:rsid w:val="00DD6A76"/>
    <w:rsid w:val="00DE7A76"/>
    <w:rsid w:val="00E00369"/>
    <w:rsid w:val="00E21023"/>
    <w:rsid w:val="00E23CAF"/>
    <w:rsid w:val="00E45E3F"/>
    <w:rsid w:val="00E50023"/>
    <w:rsid w:val="00E51265"/>
    <w:rsid w:val="00E56892"/>
    <w:rsid w:val="00E720CD"/>
    <w:rsid w:val="00E7748F"/>
    <w:rsid w:val="00E83C04"/>
    <w:rsid w:val="00E9385F"/>
    <w:rsid w:val="00EA0AD3"/>
    <w:rsid w:val="00EA162B"/>
    <w:rsid w:val="00EA25F9"/>
    <w:rsid w:val="00EB2656"/>
    <w:rsid w:val="00EC3FB6"/>
    <w:rsid w:val="00EC4D5B"/>
    <w:rsid w:val="00ED51F7"/>
    <w:rsid w:val="00EE3747"/>
    <w:rsid w:val="00EE553A"/>
    <w:rsid w:val="00EF60F5"/>
    <w:rsid w:val="00EF75DD"/>
    <w:rsid w:val="00F00F32"/>
    <w:rsid w:val="00F04B57"/>
    <w:rsid w:val="00F10534"/>
    <w:rsid w:val="00F1107F"/>
    <w:rsid w:val="00F22A0C"/>
    <w:rsid w:val="00F23970"/>
    <w:rsid w:val="00F23D36"/>
    <w:rsid w:val="00F31781"/>
    <w:rsid w:val="00F343CD"/>
    <w:rsid w:val="00F36047"/>
    <w:rsid w:val="00F41C66"/>
    <w:rsid w:val="00F42480"/>
    <w:rsid w:val="00F4458D"/>
    <w:rsid w:val="00F45D53"/>
    <w:rsid w:val="00F5342B"/>
    <w:rsid w:val="00F56289"/>
    <w:rsid w:val="00F56D31"/>
    <w:rsid w:val="00F6195A"/>
    <w:rsid w:val="00F75799"/>
    <w:rsid w:val="00F815D3"/>
    <w:rsid w:val="00F958BB"/>
    <w:rsid w:val="00FA04B4"/>
    <w:rsid w:val="00FA0F6F"/>
    <w:rsid w:val="00FB2F88"/>
    <w:rsid w:val="00FB6E0A"/>
    <w:rsid w:val="00FB7AA4"/>
    <w:rsid w:val="00FC522B"/>
    <w:rsid w:val="00FC7B57"/>
    <w:rsid w:val="00FD275E"/>
    <w:rsid w:val="00FD47AB"/>
    <w:rsid w:val="00FE3691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A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C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1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1B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1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8C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B90"/>
  </w:style>
  <w:style w:type="paragraph" w:styleId="llb">
    <w:name w:val="footer"/>
    <w:basedOn w:val="Norml"/>
    <w:link w:val="llbChar"/>
    <w:uiPriority w:val="99"/>
    <w:unhideWhenUsed/>
    <w:rsid w:val="008C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B9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1B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1B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1B9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1B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C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C1B9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C1B90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C1B9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743006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5E11FF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445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45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45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45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458D"/>
    <w:rPr>
      <w:b/>
      <w:bCs/>
      <w:sz w:val="20"/>
      <w:szCs w:val="20"/>
    </w:rPr>
  </w:style>
  <w:style w:type="paragraph" w:customStyle="1" w:styleId="Bekezds">
    <w:name w:val="Bekezdés"/>
    <w:uiPriority w:val="99"/>
    <w:rsid w:val="00992BE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0E10-A7C6-42C4-9C18-411C40A3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2024-02-29T13:59:00Z</dcterms:created>
  <dcterms:modified xsi:type="dcterms:W3CDTF">2024-02-29T14:22:00Z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ed27e920dfea3a151d311718d89ec5106befc10d243f938a34d83010920124f3</vt:lpwstr>
  </property>
  <property fmtid="{D5CDD505-2E9C-101B-9397-08002B2CF9AE}" pid="3" name="_AssemblyName">
    <vt:lpwstr>4E3C66D5-58D4-491E-A7D4-64AF99AF6E8B</vt:lpwstr>
  </property>
  <property fmtid="{D5CDD505-2E9C-101B-9397-08002B2CF9AE}" pid="4" name="Version">
    <vt:i4>1</vt:i4>
  </property>
  <property fmtid="{D5CDD505-2E9C-101B-9397-08002B2CF9AE}" pid="5" name="_AssemblyLocation">
    <vt:lpwstr>https://support.publishone.nl/standard/PublishOneWordDocument.vsto|be67df0a-2dc8-4272-b7ee-353e137cfc61</vt:lpwstr>
  </property>
  <property fmtid="{D5CDD505-2E9C-101B-9397-08002B2CF9AE}" pid="6" name="PublishOneUrl">
    <vt:lpwstr>https://wkhu.publishone.nl</vt:lpwstr>
  </property>
  <property fmtid="{D5CDD505-2E9C-101B-9397-08002B2CF9AE}" pid="7" name="Solution ID">
    <vt:lpwstr>{15727DE6-F92D-4E46-ACB4-0E2C58B31A18}</vt:lpwstr>
  </property>
</Properties>
</file>